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7D3" w:rsidRDefault="00684734">
      <w:pPr>
        <w:jc w:val="center"/>
        <w:rPr>
          <w:szCs w:val="32"/>
        </w:rPr>
      </w:pPr>
      <w:bookmarkStart w:id="0" w:name="_GoBack"/>
      <w:bookmarkEnd w:id="0"/>
      <w:r>
        <w:rPr>
          <w:rFonts w:hint="eastAsia"/>
          <w:sz w:val="32"/>
          <w:szCs w:val="40"/>
        </w:rPr>
        <w:t>编制说明</w:t>
      </w:r>
    </w:p>
    <w:p w:rsidR="00F927D3" w:rsidRDefault="00684734">
      <w:pPr>
        <w:ind w:firstLineChars="0" w:firstLine="0"/>
        <w:rPr>
          <w:b/>
          <w:bCs/>
          <w:szCs w:val="32"/>
        </w:rPr>
      </w:pPr>
      <w:r>
        <w:rPr>
          <w:rFonts w:hint="eastAsia"/>
          <w:b/>
          <w:bCs/>
          <w:szCs w:val="32"/>
        </w:rPr>
        <w:t>1</w:t>
      </w:r>
      <w:r>
        <w:rPr>
          <w:rFonts w:hint="eastAsia"/>
          <w:b/>
          <w:bCs/>
          <w:szCs w:val="32"/>
        </w:rPr>
        <w:t>目的意义</w:t>
      </w:r>
    </w:p>
    <w:p w:rsidR="00F927D3" w:rsidRDefault="00684734">
      <w:pPr>
        <w:ind w:firstLineChars="0" w:firstLine="0"/>
      </w:pPr>
      <w:r>
        <w:rPr>
          <w:rFonts w:hint="eastAsia"/>
        </w:rPr>
        <w:t>（</w:t>
      </w:r>
      <w:r>
        <w:rPr>
          <w:rFonts w:hint="eastAsia"/>
        </w:rPr>
        <w:t>1</w:t>
      </w:r>
      <w:r>
        <w:rPr>
          <w:rFonts w:hint="eastAsia"/>
        </w:rPr>
        <w:t>）编制本规程可以规范检测过程，与相关国家或行业标准相协调</w:t>
      </w:r>
    </w:p>
    <w:p w:rsidR="00F927D3" w:rsidRDefault="00684734" w:rsidP="00F40D64">
      <w:pPr>
        <w:ind w:firstLine="480"/>
      </w:pPr>
      <w:r>
        <w:rPr>
          <w:rFonts w:hint="eastAsia"/>
        </w:rPr>
        <w:t>目前，国内涉及阻尼器产品检测的主要标准仅有《建筑消能阻尼器》</w:t>
      </w:r>
      <w:r>
        <w:rPr>
          <w:rFonts w:hint="eastAsia"/>
        </w:rPr>
        <w:t>JG/T 209-2012</w:t>
      </w:r>
      <w:r>
        <w:rPr>
          <w:rFonts w:hint="eastAsia"/>
        </w:rPr>
        <w:t>、《桥梁用黏滞流体阻尼器》</w:t>
      </w:r>
      <w:r>
        <w:rPr>
          <w:rFonts w:hint="eastAsia"/>
        </w:rPr>
        <w:t>JT/T 926-2014</w:t>
      </w:r>
      <w:r>
        <w:rPr>
          <w:rFonts w:hint="eastAsia"/>
        </w:rPr>
        <w:t>、《斜拉索外置式黏滞阻尼器》</w:t>
      </w:r>
      <w:r>
        <w:rPr>
          <w:rFonts w:hint="eastAsia"/>
        </w:rPr>
        <w:t>JT/T1038-2016</w:t>
      </w:r>
      <w:r>
        <w:rPr>
          <w:rFonts w:hint="eastAsia"/>
        </w:rPr>
        <w:t>及某些地方标准如上海市的《建筑消能减震及隔震技术标准》</w:t>
      </w:r>
      <w:r>
        <w:rPr>
          <w:rFonts w:hint="eastAsia"/>
        </w:rPr>
        <w:t>DG/TJ 08-2326-2020</w:t>
      </w:r>
      <w:r>
        <w:rPr>
          <w:rFonts w:hint="eastAsia"/>
        </w:rPr>
        <w:t>。现行相关标准在对消能阻尼器产品的性能进行检测时，仍存在一些问题，目前国家标准《建筑消能减震装置通用技术要求》、行业标准</w:t>
      </w:r>
      <w:r>
        <w:rPr>
          <w:rFonts w:hint="eastAsia"/>
        </w:rPr>
        <w:t>《建筑消能阻尼器》</w:t>
      </w:r>
      <w:r>
        <w:rPr>
          <w:rFonts w:hint="eastAsia"/>
        </w:rPr>
        <w:t>分别正在制定和修订中。</w:t>
      </w:r>
      <w:r>
        <w:rPr>
          <w:rFonts w:ascii="ˎ̥" w:hAnsi="ˎ̥" w:hint="eastAsia"/>
          <w:color w:val="000000"/>
        </w:rPr>
        <w:t>上述最新修订内容将在本规程中得到展现，从而更好地为省内</w:t>
      </w:r>
      <w:r>
        <w:rPr>
          <w:rFonts w:ascii="ˎ̥" w:hAnsi="ˎ̥" w:hint="eastAsia"/>
          <w:color w:val="000000"/>
        </w:rPr>
        <w:t>消能阻尼器的检测工作</w:t>
      </w:r>
      <w:r>
        <w:rPr>
          <w:rFonts w:ascii="ˎ̥" w:hAnsi="ˎ̥" w:hint="eastAsia"/>
          <w:color w:val="000000"/>
        </w:rPr>
        <w:t>开展提供技术支撑。</w:t>
      </w:r>
    </w:p>
    <w:p w:rsidR="00F927D3" w:rsidRDefault="00684734">
      <w:pPr>
        <w:spacing w:before="8" w:line="285" w:lineRule="auto"/>
        <w:ind w:right="-17" w:firstLineChars="0" w:firstLine="0"/>
        <w:rPr>
          <w:rFonts w:ascii="Calibri" w:hAnsi="Calibri" w:cs="Times New Roman"/>
        </w:rPr>
      </w:pPr>
      <w:r>
        <w:rPr>
          <w:rFonts w:ascii="Calibri" w:hAnsi="Calibri" w:cs="Times New Roman" w:hint="eastAsia"/>
        </w:rPr>
        <w:t>（</w:t>
      </w:r>
      <w:r>
        <w:rPr>
          <w:rFonts w:ascii="Calibri" w:hAnsi="Calibri" w:cs="Times New Roman" w:hint="eastAsia"/>
        </w:rPr>
        <w:t>2</w:t>
      </w:r>
      <w:r>
        <w:rPr>
          <w:rFonts w:ascii="Calibri" w:hAnsi="Calibri" w:cs="Times New Roman" w:hint="eastAsia"/>
        </w:rPr>
        <w:t>）编制本规程为减隔震工程高质量发展奠定基础</w:t>
      </w:r>
    </w:p>
    <w:p w:rsidR="00F927D3" w:rsidRDefault="00684734" w:rsidP="00F40D64">
      <w:pPr>
        <w:ind w:firstLine="480"/>
      </w:pPr>
      <w:r>
        <w:rPr>
          <w:rFonts w:hint="eastAsia"/>
        </w:rPr>
        <w:t>2021</w:t>
      </w:r>
      <w:r>
        <w:rPr>
          <w:rFonts w:hint="eastAsia"/>
        </w:rPr>
        <w:t>年</w:t>
      </w:r>
      <w:r>
        <w:rPr>
          <w:rFonts w:hint="eastAsia"/>
        </w:rPr>
        <w:t>5</w:t>
      </w:r>
      <w:r>
        <w:rPr>
          <w:rFonts w:hint="eastAsia"/>
        </w:rPr>
        <w:t>月</w:t>
      </w:r>
      <w:r>
        <w:rPr>
          <w:rFonts w:hint="eastAsia"/>
        </w:rPr>
        <w:t>12</w:t>
      </w:r>
      <w:r>
        <w:rPr>
          <w:rFonts w:hint="eastAsia"/>
        </w:rPr>
        <w:t>日，国务院常务会议通过《建设工程抗震管理条例》，标志着国内减隔震技术行业在国家政策层面正式由鼓励性向强制性转变，消能减震产品的推广和应用将迎来广阔的发展前景。在国家政策大力支持的情况下，《建筑抗震设计规范》、《建筑工程抗震设防分类标准》等开始进行紧急局部修订，消能减震阻尼器作为建筑抗震工程的重要产品，也应进行相应修订来适应技术的</w:t>
      </w:r>
      <w:r>
        <w:rPr>
          <w:rFonts w:hint="eastAsia"/>
        </w:rPr>
        <w:t>不断发展。在国家政策鼓励支持的大环境下，消能减震产品需求量增加，国内的生产厂家也日益增多，但生产技术水平参差不齐，导致不同生产厂家的产品性能差异明显。标准作为技术行业发展和推广的排头兵，只有标准制定的科学、完善、合理，才能引导整个行业的健康、高质量发展。</w:t>
      </w:r>
    </w:p>
    <w:p w:rsidR="00F927D3" w:rsidRDefault="00684734">
      <w:pPr>
        <w:spacing w:before="8" w:line="285" w:lineRule="auto"/>
        <w:ind w:right="-17" w:firstLineChars="0" w:firstLine="0"/>
        <w:rPr>
          <w:rFonts w:ascii="Calibri" w:hAnsi="Calibri" w:cs="Times New Roman"/>
        </w:rPr>
      </w:pPr>
      <w:r>
        <w:rPr>
          <w:rFonts w:ascii="Calibri" w:hAnsi="Calibri" w:cs="Times New Roman" w:hint="eastAsia"/>
        </w:rPr>
        <w:t>（</w:t>
      </w:r>
      <w:r>
        <w:rPr>
          <w:rFonts w:ascii="Calibri" w:hAnsi="Calibri" w:cs="Times New Roman" w:hint="eastAsia"/>
        </w:rPr>
        <w:t>3</w:t>
      </w:r>
      <w:r>
        <w:rPr>
          <w:rFonts w:ascii="Calibri" w:hAnsi="Calibri" w:cs="Times New Roman" w:hint="eastAsia"/>
        </w:rPr>
        <w:t>）编制本规程为土木工程工程监管提供依据，规范市场</w:t>
      </w:r>
    </w:p>
    <w:p w:rsidR="00F927D3" w:rsidRDefault="00684734" w:rsidP="00F40D64">
      <w:pPr>
        <w:ind w:firstLine="480"/>
      </w:pPr>
      <w:r>
        <w:rPr>
          <w:rFonts w:hint="eastAsia"/>
        </w:rPr>
        <w:t>建立型式检验、出厂检验、抽样检验相协调的检验机制，规范产品生产、产品出厂、抽样检验、产品维护、产品检修等各个环节，建立产品质量追溯机制，最大限度保障产品质量和抗震工程质量。</w:t>
      </w:r>
    </w:p>
    <w:p w:rsidR="00F927D3" w:rsidRDefault="00684734">
      <w:pPr>
        <w:ind w:firstLineChars="0" w:firstLine="0"/>
        <w:rPr>
          <w:b/>
          <w:bCs/>
          <w:szCs w:val="32"/>
        </w:rPr>
      </w:pPr>
      <w:r>
        <w:rPr>
          <w:rFonts w:hint="eastAsia"/>
          <w:b/>
          <w:bCs/>
          <w:szCs w:val="32"/>
        </w:rPr>
        <w:t>2</w:t>
      </w:r>
      <w:r>
        <w:rPr>
          <w:rFonts w:hint="eastAsia"/>
          <w:b/>
          <w:bCs/>
          <w:szCs w:val="32"/>
        </w:rPr>
        <w:t>任务来源</w:t>
      </w:r>
      <w:r>
        <w:rPr>
          <w:rFonts w:hint="eastAsia"/>
          <w:b/>
          <w:bCs/>
          <w:szCs w:val="32"/>
        </w:rPr>
        <w:t xml:space="preserve"> </w:t>
      </w:r>
    </w:p>
    <w:p w:rsidR="00F927D3" w:rsidRDefault="00684734" w:rsidP="00F40D64">
      <w:pPr>
        <w:ind w:firstLine="480"/>
      </w:pPr>
      <w:r>
        <w:rPr>
          <w:rFonts w:hint="eastAsia"/>
        </w:rPr>
        <w:t>根据苏市监标</w:t>
      </w:r>
      <w:r>
        <w:rPr>
          <w:rFonts w:hint="eastAsia"/>
        </w:rPr>
        <w:t>[</w:t>
      </w:r>
      <w:r>
        <w:rPr>
          <w:rFonts w:hint="eastAsia"/>
        </w:rPr>
        <w:t>2023]24</w:t>
      </w:r>
      <w:r>
        <w:rPr>
          <w:rFonts w:hint="eastAsia"/>
        </w:rPr>
        <w:t>号文“关于印发《</w:t>
      </w:r>
      <w:r>
        <w:rPr>
          <w:rFonts w:hint="eastAsia"/>
        </w:rPr>
        <w:t>2023</w:t>
      </w:r>
      <w:r>
        <w:rPr>
          <w:rFonts w:hint="eastAsia"/>
        </w:rPr>
        <w:t>年度江苏省地方标准申报指南》的通知”要求，由常州市建筑科学研究院集团股份有限公司、东南大学会同有关单位编制江苏省地方标准《消能阻尼器检测技术规程》。</w:t>
      </w:r>
    </w:p>
    <w:p w:rsidR="00F927D3" w:rsidRDefault="00684734">
      <w:pPr>
        <w:ind w:firstLineChars="0" w:firstLine="0"/>
        <w:rPr>
          <w:b/>
          <w:bCs/>
          <w:szCs w:val="32"/>
        </w:rPr>
      </w:pPr>
      <w:r>
        <w:rPr>
          <w:rFonts w:hint="eastAsia"/>
          <w:b/>
          <w:bCs/>
          <w:szCs w:val="32"/>
        </w:rPr>
        <w:t>3</w:t>
      </w:r>
      <w:r>
        <w:rPr>
          <w:rFonts w:hint="eastAsia"/>
          <w:b/>
          <w:bCs/>
          <w:szCs w:val="32"/>
        </w:rPr>
        <w:t>编制过程</w:t>
      </w:r>
    </w:p>
    <w:p w:rsidR="00F927D3" w:rsidRDefault="00684734">
      <w:pPr>
        <w:ind w:right="-6" w:firstLine="480"/>
        <w:rPr>
          <w:rFonts w:hAnsi="宋体" w:cs="Times New Roman"/>
          <w:color w:val="000000"/>
        </w:rPr>
      </w:pPr>
      <w:r>
        <w:rPr>
          <w:rFonts w:hAnsi="宋体" w:cs="Times New Roman"/>
          <w:color w:val="000000"/>
        </w:rPr>
        <w:t>20</w:t>
      </w:r>
      <w:r>
        <w:rPr>
          <w:rFonts w:hAnsi="宋体" w:cs="Times New Roman" w:hint="eastAsia"/>
          <w:color w:val="000000"/>
        </w:rPr>
        <w:t>23</w:t>
      </w:r>
      <w:r>
        <w:rPr>
          <w:rFonts w:hAnsi="宋体" w:cs="Times New Roman"/>
          <w:color w:val="000000"/>
        </w:rPr>
        <w:t>年</w:t>
      </w:r>
      <w:r>
        <w:rPr>
          <w:rFonts w:hAnsi="宋体" w:cs="Times New Roman" w:hint="eastAsia"/>
          <w:color w:val="000000"/>
        </w:rPr>
        <w:t>10</w:t>
      </w:r>
      <w:r>
        <w:rPr>
          <w:rFonts w:hAnsi="宋体" w:cs="Times New Roman"/>
          <w:color w:val="000000"/>
        </w:rPr>
        <w:t>月，</w:t>
      </w:r>
      <w:r>
        <w:rPr>
          <w:rFonts w:hAnsi="宋体" w:cs="Times New Roman" w:hint="eastAsia"/>
          <w:color w:val="000000"/>
        </w:rPr>
        <w:t>由</w:t>
      </w:r>
      <w:r>
        <w:rPr>
          <w:rFonts w:hint="eastAsia"/>
        </w:rPr>
        <w:t>常州市建筑科学研究院集团股份有限公司</w:t>
      </w:r>
      <w:r>
        <w:rPr>
          <w:rFonts w:hAnsi="宋体" w:cs="Times New Roman"/>
          <w:color w:val="000000"/>
        </w:rPr>
        <w:t>和</w:t>
      </w:r>
      <w:r>
        <w:rPr>
          <w:rFonts w:hAnsi="宋体" w:cs="Times New Roman" w:hint="eastAsia"/>
          <w:color w:val="000000"/>
        </w:rPr>
        <w:t>东南大学等单</w:t>
      </w:r>
      <w:r>
        <w:rPr>
          <w:rFonts w:hAnsi="宋体" w:cs="Times New Roman" w:hint="eastAsia"/>
          <w:color w:val="000000"/>
        </w:rPr>
        <w:lastRenderedPageBreak/>
        <w:t>位共同成立本</w:t>
      </w:r>
      <w:r>
        <w:rPr>
          <w:rFonts w:hAnsi="宋体" w:cs="Times New Roman" w:hint="eastAsia"/>
          <w:color w:val="000000"/>
        </w:rPr>
        <w:t>规程</w:t>
      </w:r>
      <w:r>
        <w:rPr>
          <w:rFonts w:hAnsi="宋体" w:cs="Times New Roman" w:hint="eastAsia"/>
          <w:color w:val="000000"/>
        </w:rPr>
        <w:t>编制组，通过制定《</w:t>
      </w:r>
      <w:r>
        <w:rPr>
          <w:rFonts w:hAnsi="宋体" w:cs="Times New Roman" w:hint="eastAsia"/>
          <w:color w:val="000000"/>
        </w:rPr>
        <w:t>规程</w:t>
      </w:r>
      <w:r>
        <w:rPr>
          <w:rFonts w:hAnsi="宋体" w:cs="Times New Roman" w:hint="eastAsia"/>
          <w:color w:val="000000"/>
        </w:rPr>
        <w:t>编制工作方案》、《</w:t>
      </w:r>
      <w:r>
        <w:rPr>
          <w:rFonts w:hAnsi="宋体" w:cs="Times New Roman" w:hint="eastAsia"/>
          <w:color w:val="000000"/>
        </w:rPr>
        <w:t>规程</w:t>
      </w:r>
      <w:r>
        <w:rPr>
          <w:rFonts w:hAnsi="宋体" w:cs="Times New Roman" w:hint="eastAsia"/>
          <w:color w:val="000000"/>
        </w:rPr>
        <w:t>编制工作计划》、《</w:t>
      </w:r>
      <w:r>
        <w:rPr>
          <w:rFonts w:hAnsi="宋体" w:cs="Times New Roman" w:hint="eastAsia"/>
          <w:color w:val="000000"/>
        </w:rPr>
        <w:t>规程</w:t>
      </w:r>
      <w:r>
        <w:rPr>
          <w:rFonts w:hAnsi="宋体" w:cs="Times New Roman" w:hint="eastAsia"/>
          <w:color w:val="000000"/>
        </w:rPr>
        <w:t>编制大纲》，由</w:t>
      </w:r>
      <w:r>
        <w:rPr>
          <w:rFonts w:hAnsi="宋体" w:cs="Times New Roman" w:hint="eastAsia"/>
          <w:color w:val="000000"/>
        </w:rPr>
        <w:t>规程</w:t>
      </w:r>
      <w:r>
        <w:rPr>
          <w:rFonts w:hAnsi="宋体" w:cs="Times New Roman" w:hint="eastAsia"/>
          <w:color w:val="000000"/>
        </w:rPr>
        <w:t>编制组成员分别按有关的章节起草编制，至</w:t>
      </w:r>
      <w:r>
        <w:rPr>
          <w:rFonts w:hAnsi="宋体" w:cs="Times New Roman" w:hint="eastAsia"/>
          <w:color w:val="000000"/>
        </w:rPr>
        <w:t>20</w:t>
      </w:r>
      <w:r>
        <w:rPr>
          <w:rFonts w:hAnsi="宋体" w:cs="Times New Roman"/>
          <w:color w:val="000000"/>
        </w:rPr>
        <w:t>2</w:t>
      </w:r>
      <w:r>
        <w:rPr>
          <w:rFonts w:hAnsi="宋体" w:cs="Times New Roman" w:hint="eastAsia"/>
          <w:color w:val="000000"/>
        </w:rPr>
        <w:t>4</w:t>
      </w:r>
      <w:r>
        <w:rPr>
          <w:rFonts w:hAnsi="宋体" w:cs="Times New Roman" w:hint="eastAsia"/>
          <w:color w:val="000000"/>
        </w:rPr>
        <w:t>年</w:t>
      </w:r>
      <w:r>
        <w:rPr>
          <w:rFonts w:hAnsi="宋体" w:cs="Times New Roman" w:hint="eastAsia"/>
          <w:color w:val="000000"/>
        </w:rPr>
        <w:t>8</w:t>
      </w:r>
      <w:r>
        <w:rPr>
          <w:rFonts w:hAnsi="宋体" w:cs="Times New Roman" w:hint="eastAsia"/>
          <w:color w:val="000000"/>
        </w:rPr>
        <w:t>月形成本规程初稿。期间编制组多次对本标准初稿进行集中评审和修改，</w:t>
      </w:r>
      <w:r>
        <w:rPr>
          <w:rFonts w:hAnsi="宋体" w:cs="Times New Roman"/>
          <w:color w:val="000000"/>
        </w:rPr>
        <w:t>20XX</w:t>
      </w:r>
      <w:r>
        <w:rPr>
          <w:rFonts w:hAnsi="宋体" w:cs="Times New Roman" w:hint="eastAsia"/>
          <w:color w:val="000000"/>
        </w:rPr>
        <w:t>年</w:t>
      </w:r>
      <w:r>
        <w:rPr>
          <w:rFonts w:hAnsi="宋体" w:cs="Times New Roman"/>
          <w:color w:val="000000"/>
        </w:rPr>
        <w:t>X</w:t>
      </w:r>
      <w:r>
        <w:rPr>
          <w:rFonts w:hAnsi="宋体" w:cs="Times New Roman" w:hint="eastAsia"/>
          <w:color w:val="000000"/>
        </w:rPr>
        <w:t>月定稿后按进度计划提交江苏省工程建设标准站。</w:t>
      </w:r>
    </w:p>
    <w:p w:rsidR="00F927D3" w:rsidRDefault="00684734">
      <w:pPr>
        <w:ind w:firstLineChars="300" w:firstLine="720"/>
        <w:rPr>
          <w:b/>
          <w:bCs/>
          <w:szCs w:val="32"/>
        </w:rPr>
      </w:pPr>
      <w:r>
        <w:rPr>
          <w:rFonts w:cs="Times New Roman" w:hint="eastAsia"/>
          <w:color w:val="000000"/>
        </w:rPr>
        <w:t>本《规程》征求意见稿已于</w:t>
      </w:r>
      <w:r>
        <w:rPr>
          <w:rFonts w:hAnsi="宋体" w:cs="Times New Roman"/>
          <w:color w:val="000000"/>
        </w:rPr>
        <w:t>20XX</w:t>
      </w:r>
      <w:r>
        <w:rPr>
          <w:rFonts w:hAnsi="宋体" w:cs="Times New Roman" w:hint="eastAsia"/>
          <w:color w:val="000000"/>
        </w:rPr>
        <w:t>年</w:t>
      </w:r>
      <w:r>
        <w:rPr>
          <w:rFonts w:hAnsi="宋体" w:cs="Times New Roman"/>
          <w:color w:val="000000"/>
        </w:rPr>
        <w:t>X</w:t>
      </w:r>
      <w:r>
        <w:rPr>
          <w:rFonts w:hAnsi="宋体" w:cs="Times New Roman" w:hint="eastAsia"/>
          <w:color w:val="000000"/>
        </w:rPr>
        <w:t>月</w:t>
      </w:r>
      <w:r>
        <w:rPr>
          <w:rFonts w:hAnsi="宋体" w:cs="Times New Roman"/>
          <w:color w:val="000000"/>
        </w:rPr>
        <w:t>X</w:t>
      </w:r>
      <w:r>
        <w:rPr>
          <w:rFonts w:hAnsi="宋体" w:cs="Times New Roman" w:hint="eastAsia"/>
          <w:color w:val="000000"/>
        </w:rPr>
        <w:t>日至</w:t>
      </w:r>
      <w:r>
        <w:rPr>
          <w:rFonts w:hAnsi="宋体" w:cs="Times New Roman" w:hint="eastAsia"/>
          <w:color w:val="000000"/>
        </w:rPr>
        <w:t>20</w:t>
      </w:r>
      <w:r>
        <w:rPr>
          <w:rFonts w:hAnsi="宋体" w:cs="Times New Roman"/>
          <w:color w:val="000000"/>
        </w:rPr>
        <w:t>XX</w:t>
      </w:r>
      <w:r>
        <w:rPr>
          <w:rFonts w:hAnsi="宋体" w:cs="Times New Roman" w:hint="eastAsia"/>
          <w:color w:val="000000"/>
        </w:rPr>
        <w:t>年</w:t>
      </w:r>
      <w:r>
        <w:rPr>
          <w:rFonts w:hAnsi="宋体" w:cs="Times New Roman"/>
          <w:color w:val="000000"/>
        </w:rPr>
        <w:t>X</w:t>
      </w:r>
      <w:r>
        <w:rPr>
          <w:rFonts w:hAnsi="宋体" w:cs="Times New Roman" w:hint="eastAsia"/>
          <w:color w:val="000000"/>
        </w:rPr>
        <w:t>月</w:t>
      </w:r>
      <w:r>
        <w:rPr>
          <w:rFonts w:hAnsi="宋体" w:cs="Times New Roman"/>
          <w:color w:val="000000"/>
        </w:rPr>
        <w:t>X</w:t>
      </w:r>
      <w:r>
        <w:rPr>
          <w:rFonts w:hAnsi="宋体" w:cs="Times New Roman" w:hint="eastAsia"/>
          <w:color w:val="000000"/>
        </w:rPr>
        <w:t>日，</w:t>
      </w:r>
      <w:r>
        <w:rPr>
          <w:rFonts w:cs="Times New Roman" w:hint="eastAsia"/>
          <w:color w:val="000000"/>
        </w:rPr>
        <w:t>由</w:t>
      </w:r>
      <w:r>
        <w:rPr>
          <w:rFonts w:hAnsi="宋体" w:cs="Times New Roman" w:hint="eastAsia"/>
          <w:color w:val="000000"/>
        </w:rPr>
        <w:t>江苏省建设标准站</w:t>
      </w:r>
      <w:r>
        <w:rPr>
          <w:rFonts w:cs="Times New Roman" w:hint="eastAsia"/>
          <w:color w:val="000000"/>
        </w:rPr>
        <w:t>同时通过江苏省住房和城乡建设厅网站、江苏建设科技与建筑节能网站公开征求意见。编制组根据反馈意见完成</w:t>
      </w:r>
      <w:r>
        <w:rPr>
          <w:rFonts w:hint="eastAsia"/>
        </w:rPr>
        <w:t>《消能阻尼器检测技术规程》</w:t>
      </w:r>
      <w:r>
        <w:rPr>
          <w:rFonts w:cs="Times New Roman" w:hint="eastAsia"/>
          <w:color w:val="000000"/>
        </w:rPr>
        <w:t>送审稿。</w:t>
      </w:r>
    </w:p>
    <w:p w:rsidR="00F927D3" w:rsidRDefault="00684734">
      <w:pPr>
        <w:ind w:firstLineChars="0" w:firstLine="0"/>
        <w:rPr>
          <w:b/>
          <w:bCs/>
          <w:szCs w:val="32"/>
        </w:rPr>
      </w:pPr>
      <w:r>
        <w:rPr>
          <w:rFonts w:hint="eastAsia"/>
          <w:b/>
          <w:bCs/>
          <w:szCs w:val="32"/>
        </w:rPr>
        <w:t>4</w:t>
      </w:r>
      <w:r>
        <w:rPr>
          <w:rFonts w:hint="eastAsia"/>
          <w:b/>
          <w:bCs/>
          <w:szCs w:val="32"/>
        </w:rPr>
        <w:t>主要内容</w:t>
      </w:r>
    </w:p>
    <w:p w:rsidR="00F927D3" w:rsidRDefault="00684734">
      <w:pPr>
        <w:tabs>
          <w:tab w:val="right" w:leader="dot" w:pos="9349"/>
        </w:tabs>
        <w:ind w:firstLineChars="0" w:firstLine="0"/>
        <w:rPr>
          <w:rFonts w:cs="Times New Roman"/>
        </w:rPr>
      </w:pPr>
      <w:hyperlink w:anchor="_Toc8494" w:history="1">
        <w:r>
          <w:rPr>
            <w:rFonts w:cs="Times New Roman"/>
          </w:rPr>
          <w:t>前</w:t>
        </w:r>
        <w:r>
          <w:rPr>
            <w:rFonts w:cs="Times New Roman"/>
          </w:rPr>
          <w:t xml:space="preserve">    </w:t>
        </w:r>
        <w:r>
          <w:rPr>
            <w:rFonts w:cs="Times New Roman"/>
          </w:rPr>
          <w:t>言</w:t>
        </w:r>
      </w:hyperlink>
    </w:p>
    <w:p w:rsidR="00F927D3" w:rsidRDefault="00684734">
      <w:pPr>
        <w:tabs>
          <w:tab w:val="right" w:leader="dot" w:pos="9349"/>
        </w:tabs>
        <w:ind w:firstLineChars="0" w:firstLine="0"/>
        <w:rPr>
          <w:rFonts w:cs="Times New Roman"/>
        </w:rPr>
      </w:pPr>
      <w:hyperlink w:anchor="_Toc26128" w:history="1">
        <w:r>
          <w:rPr>
            <w:rFonts w:cs="Times New Roman"/>
          </w:rPr>
          <w:t xml:space="preserve">1 </w:t>
        </w:r>
        <w:r>
          <w:rPr>
            <w:rFonts w:cs="Times New Roman"/>
          </w:rPr>
          <w:t>范围</w:t>
        </w:r>
      </w:hyperlink>
    </w:p>
    <w:p w:rsidR="00F927D3" w:rsidRDefault="00684734">
      <w:pPr>
        <w:tabs>
          <w:tab w:val="right" w:leader="dot" w:pos="9349"/>
        </w:tabs>
        <w:ind w:firstLineChars="0" w:firstLine="0"/>
        <w:rPr>
          <w:rFonts w:cs="Times New Roman"/>
        </w:rPr>
      </w:pPr>
      <w:hyperlink w:anchor="_Toc14707" w:history="1">
        <w:r>
          <w:rPr>
            <w:rFonts w:cs="Times New Roman"/>
          </w:rPr>
          <w:t xml:space="preserve">2 </w:t>
        </w:r>
        <w:r>
          <w:rPr>
            <w:rFonts w:cs="Times New Roman"/>
          </w:rPr>
          <w:t>规范性引用文件</w:t>
        </w:r>
      </w:hyperlink>
    </w:p>
    <w:p w:rsidR="00F927D3" w:rsidRDefault="00684734">
      <w:pPr>
        <w:tabs>
          <w:tab w:val="right" w:leader="dot" w:pos="9349"/>
        </w:tabs>
        <w:ind w:firstLineChars="0" w:firstLine="0"/>
        <w:rPr>
          <w:rFonts w:cs="Times New Roman"/>
        </w:rPr>
      </w:pPr>
      <w:hyperlink w:anchor="_Toc18212" w:history="1">
        <w:r>
          <w:rPr>
            <w:rFonts w:cs="Times New Roman"/>
          </w:rPr>
          <w:t xml:space="preserve">3 </w:t>
        </w:r>
        <w:r>
          <w:rPr>
            <w:rFonts w:cs="Times New Roman"/>
          </w:rPr>
          <w:t>术语和定义</w:t>
        </w:r>
      </w:hyperlink>
    </w:p>
    <w:p w:rsidR="00F927D3" w:rsidRDefault="00684734">
      <w:pPr>
        <w:tabs>
          <w:tab w:val="right" w:leader="dot" w:pos="9349"/>
        </w:tabs>
        <w:ind w:firstLineChars="0" w:firstLine="0"/>
        <w:rPr>
          <w:rFonts w:cs="Times New Roman"/>
        </w:rPr>
      </w:pPr>
      <w:hyperlink w:anchor="_Toc4911" w:history="1">
        <w:r>
          <w:rPr>
            <w:rFonts w:cs="Times New Roman"/>
            <w:kern w:val="0"/>
          </w:rPr>
          <w:t xml:space="preserve">4 </w:t>
        </w:r>
        <w:r>
          <w:rPr>
            <w:rFonts w:cs="Times New Roman"/>
            <w:kern w:val="0"/>
          </w:rPr>
          <w:t>基本规定</w:t>
        </w:r>
      </w:hyperlink>
    </w:p>
    <w:p w:rsidR="00F927D3" w:rsidRDefault="00684734">
      <w:pPr>
        <w:tabs>
          <w:tab w:val="right" w:leader="dot" w:pos="9349"/>
        </w:tabs>
        <w:ind w:firstLineChars="0" w:firstLine="0"/>
        <w:rPr>
          <w:rFonts w:cs="Times New Roman"/>
        </w:rPr>
      </w:pPr>
      <w:hyperlink w:anchor="_Toc27045" w:history="1">
        <w:r>
          <w:rPr>
            <w:rFonts w:cs="Times New Roman"/>
            <w:kern w:val="0"/>
          </w:rPr>
          <w:t xml:space="preserve">5 </w:t>
        </w:r>
        <w:r>
          <w:rPr>
            <w:rFonts w:cs="Times New Roman"/>
            <w:kern w:val="0"/>
          </w:rPr>
          <w:t>检测基本要求</w:t>
        </w:r>
      </w:hyperlink>
    </w:p>
    <w:p w:rsidR="00F927D3" w:rsidRDefault="00684734">
      <w:pPr>
        <w:tabs>
          <w:tab w:val="right" w:leader="dot" w:pos="9349"/>
        </w:tabs>
        <w:ind w:firstLineChars="0" w:firstLine="0"/>
        <w:rPr>
          <w:rFonts w:cs="Times New Roman"/>
        </w:rPr>
      </w:pPr>
      <w:hyperlink w:anchor="_Toc10417" w:history="1">
        <w:r>
          <w:rPr>
            <w:rFonts w:cs="Times New Roman"/>
            <w:kern w:val="0"/>
          </w:rPr>
          <w:t xml:space="preserve">6 </w:t>
        </w:r>
        <w:r>
          <w:rPr>
            <w:rFonts w:cs="Times New Roman"/>
            <w:kern w:val="0"/>
          </w:rPr>
          <w:t>速度相关型消能器</w:t>
        </w:r>
      </w:hyperlink>
    </w:p>
    <w:p w:rsidR="00F927D3" w:rsidRDefault="00684734">
      <w:pPr>
        <w:tabs>
          <w:tab w:val="right" w:leader="dot" w:pos="9349"/>
        </w:tabs>
        <w:ind w:leftChars="200" w:left="480" w:firstLineChars="0" w:firstLine="0"/>
        <w:rPr>
          <w:rFonts w:cs="Times New Roman"/>
        </w:rPr>
      </w:pPr>
      <w:hyperlink w:anchor="_Toc3513" w:history="1">
        <w:r>
          <w:rPr>
            <w:rFonts w:cs="Times New Roman"/>
            <w:kern w:val="0"/>
          </w:rPr>
          <w:t>6.1</w:t>
        </w:r>
        <w:r>
          <w:rPr>
            <w:rFonts w:cs="Times New Roman"/>
            <w:kern w:val="0"/>
          </w:rPr>
          <w:t>黏滞消能器和黏滞阻尼墙</w:t>
        </w:r>
      </w:hyperlink>
    </w:p>
    <w:p w:rsidR="00F927D3" w:rsidRDefault="00684734">
      <w:pPr>
        <w:tabs>
          <w:tab w:val="right" w:leader="dot" w:pos="9349"/>
        </w:tabs>
        <w:ind w:leftChars="200" w:left="480" w:firstLineChars="0" w:firstLine="0"/>
        <w:rPr>
          <w:rFonts w:cs="Times New Roman"/>
        </w:rPr>
      </w:pPr>
      <w:hyperlink w:anchor="_Toc31690" w:history="1">
        <w:r>
          <w:rPr>
            <w:rFonts w:cs="Times New Roman"/>
            <w:kern w:val="0"/>
          </w:rPr>
          <w:t>6.2</w:t>
        </w:r>
        <w:r>
          <w:rPr>
            <w:rFonts w:cs="Times New Roman"/>
            <w:kern w:val="0"/>
          </w:rPr>
          <w:t>黏弹性消能器</w:t>
        </w:r>
      </w:hyperlink>
    </w:p>
    <w:p w:rsidR="00F927D3" w:rsidRDefault="00684734">
      <w:pPr>
        <w:tabs>
          <w:tab w:val="right" w:leader="dot" w:pos="9349"/>
        </w:tabs>
        <w:ind w:firstLineChars="0" w:firstLine="0"/>
        <w:rPr>
          <w:rFonts w:cs="Times New Roman"/>
        </w:rPr>
      </w:pPr>
      <w:hyperlink w:anchor="_Toc3853" w:history="1">
        <w:r>
          <w:rPr>
            <w:rFonts w:cs="Times New Roman"/>
            <w:kern w:val="0"/>
          </w:rPr>
          <w:t xml:space="preserve">7 </w:t>
        </w:r>
        <w:r>
          <w:rPr>
            <w:rFonts w:cs="Times New Roman"/>
            <w:kern w:val="0"/>
          </w:rPr>
          <w:t>位移相关型消能器</w:t>
        </w:r>
      </w:hyperlink>
    </w:p>
    <w:p w:rsidR="00F927D3" w:rsidRDefault="00684734">
      <w:pPr>
        <w:tabs>
          <w:tab w:val="right" w:leader="dot" w:pos="9349"/>
        </w:tabs>
        <w:ind w:leftChars="200" w:left="480" w:firstLineChars="0" w:firstLine="0"/>
        <w:rPr>
          <w:rFonts w:cs="Times New Roman"/>
        </w:rPr>
      </w:pPr>
      <w:hyperlink w:anchor="_Toc24079" w:history="1">
        <w:r>
          <w:rPr>
            <w:rFonts w:cs="Times New Roman"/>
            <w:kern w:val="0"/>
          </w:rPr>
          <w:t>7.1</w:t>
        </w:r>
        <w:r>
          <w:rPr>
            <w:rFonts w:cs="Times New Roman"/>
            <w:kern w:val="0"/>
          </w:rPr>
          <w:t>屈曲约束支撑</w:t>
        </w:r>
      </w:hyperlink>
    </w:p>
    <w:p w:rsidR="00F927D3" w:rsidRDefault="00684734">
      <w:pPr>
        <w:tabs>
          <w:tab w:val="right" w:leader="dot" w:pos="9349"/>
        </w:tabs>
        <w:ind w:leftChars="200" w:left="480" w:firstLineChars="0" w:firstLine="0"/>
        <w:rPr>
          <w:rFonts w:cs="Times New Roman"/>
        </w:rPr>
      </w:pPr>
      <w:hyperlink w:anchor="_Toc13078" w:history="1">
        <w:r>
          <w:rPr>
            <w:rFonts w:cs="Times New Roman"/>
            <w:bCs/>
          </w:rPr>
          <w:t>7.2</w:t>
        </w:r>
        <w:r>
          <w:rPr>
            <w:rFonts w:cs="Times New Roman"/>
            <w:bCs/>
          </w:rPr>
          <w:t>金属屈服型消能器</w:t>
        </w:r>
      </w:hyperlink>
    </w:p>
    <w:p w:rsidR="00F927D3" w:rsidRDefault="00684734">
      <w:pPr>
        <w:tabs>
          <w:tab w:val="right" w:leader="dot" w:pos="9349"/>
        </w:tabs>
        <w:ind w:leftChars="200" w:left="480" w:firstLineChars="0" w:firstLine="0"/>
        <w:rPr>
          <w:rFonts w:cs="Times New Roman"/>
        </w:rPr>
      </w:pPr>
      <w:hyperlink w:anchor="_Toc6288" w:history="1">
        <w:r>
          <w:rPr>
            <w:rFonts w:cs="Times New Roman"/>
            <w:bCs/>
          </w:rPr>
          <w:t>7.3</w:t>
        </w:r>
        <w:r>
          <w:rPr>
            <w:rFonts w:cs="Times New Roman"/>
            <w:bCs/>
            <w:kern w:val="0"/>
          </w:rPr>
          <w:t>摩擦消能器</w:t>
        </w:r>
      </w:hyperlink>
    </w:p>
    <w:p w:rsidR="00F927D3" w:rsidRDefault="00684734">
      <w:pPr>
        <w:tabs>
          <w:tab w:val="right" w:leader="dot" w:pos="9349"/>
        </w:tabs>
        <w:ind w:firstLineChars="0" w:firstLine="0"/>
        <w:rPr>
          <w:rFonts w:cs="Times New Roman"/>
        </w:rPr>
      </w:pPr>
      <w:hyperlink w:anchor="_Toc31332" w:history="1">
        <w:r>
          <w:rPr>
            <w:rFonts w:cs="Times New Roman"/>
            <w:kern w:val="0"/>
          </w:rPr>
          <w:t xml:space="preserve">8 </w:t>
        </w:r>
        <w:r>
          <w:rPr>
            <w:rFonts w:cs="Times New Roman"/>
            <w:kern w:val="0"/>
          </w:rPr>
          <w:t>调谐质量消能器</w:t>
        </w:r>
      </w:hyperlink>
    </w:p>
    <w:p w:rsidR="00F927D3" w:rsidRDefault="00684734">
      <w:pPr>
        <w:tabs>
          <w:tab w:val="right" w:leader="dot" w:pos="9349"/>
        </w:tabs>
        <w:ind w:leftChars="200" w:left="480" w:firstLineChars="0" w:firstLine="0"/>
        <w:rPr>
          <w:rFonts w:cs="Times New Roman"/>
        </w:rPr>
      </w:pPr>
      <w:hyperlink w:anchor="_Toc7762" w:history="1">
        <w:r>
          <w:rPr>
            <w:rFonts w:cs="Times New Roman"/>
            <w:kern w:val="0"/>
          </w:rPr>
          <w:t>8.1</w:t>
        </w:r>
        <w:r>
          <w:rPr>
            <w:rFonts w:cs="Times New Roman"/>
            <w:kern w:val="0"/>
          </w:rPr>
          <w:t>外观和尺寸</w:t>
        </w:r>
      </w:hyperlink>
    </w:p>
    <w:p w:rsidR="00F927D3" w:rsidRDefault="00684734">
      <w:pPr>
        <w:tabs>
          <w:tab w:val="right" w:leader="dot" w:pos="9349"/>
        </w:tabs>
        <w:ind w:leftChars="200" w:left="480" w:firstLineChars="0" w:firstLine="0"/>
        <w:rPr>
          <w:rFonts w:cs="Times New Roman"/>
        </w:rPr>
      </w:pPr>
      <w:hyperlink w:anchor="_Toc5564" w:history="1">
        <w:r>
          <w:rPr>
            <w:rFonts w:cs="Times New Roman"/>
            <w:kern w:val="0"/>
          </w:rPr>
          <w:t>8.2</w:t>
        </w:r>
        <w:r>
          <w:rPr>
            <w:rFonts w:cs="Times New Roman"/>
            <w:kern w:val="0"/>
          </w:rPr>
          <w:t>材料</w:t>
        </w:r>
      </w:hyperlink>
    </w:p>
    <w:p w:rsidR="00F927D3" w:rsidRDefault="00684734">
      <w:pPr>
        <w:tabs>
          <w:tab w:val="right" w:leader="dot" w:pos="9349"/>
        </w:tabs>
        <w:ind w:leftChars="200" w:left="480" w:firstLineChars="0" w:firstLine="0"/>
        <w:rPr>
          <w:rFonts w:cs="Times New Roman"/>
        </w:rPr>
      </w:pPr>
      <w:hyperlink w:anchor="_Toc1935" w:history="1">
        <w:r>
          <w:rPr>
            <w:rFonts w:cs="Times New Roman"/>
            <w:kern w:val="0"/>
          </w:rPr>
          <w:t>8.3</w:t>
        </w:r>
        <w:r>
          <w:rPr>
            <w:rFonts w:cs="Times New Roman"/>
            <w:kern w:val="0"/>
          </w:rPr>
          <w:t>力学性能</w:t>
        </w:r>
      </w:hyperlink>
    </w:p>
    <w:p w:rsidR="00F927D3" w:rsidRDefault="00684734">
      <w:pPr>
        <w:tabs>
          <w:tab w:val="right" w:leader="dot" w:pos="9349"/>
        </w:tabs>
        <w:ind w:leftChars="200" w:left="480" w:firstLineChars="0" w:firstLine="0"/>
        <w:rPr>
          <w:rFonts w:cs="Times New Roman"/>
        </w:rPr>
      </w:pPr>
      <w:hyperlink w:anchor="_Toc25809" w:history="1">
        <w:r>
          <w:rPr>
            <w:rFonts w:cs="Times New Roman"/>
            <w:kern w:val="0"/>
          </w:rPr>
          <w:t>8.4</w:t>
        </w:r>
        <w:r>
          <w:rPr>
            <w:rFonts w:cs="Times New Roman"/>
            <w:kern w:val="0"/>
          </w:rPr>
          <w:t>耐久性</w:t>
        </w:r>
      </w:hyperlink>
    </w:p>
    <w:p w:rsidR="00F927D3" w:rsidRDefault="00684734">
      <w:pPr>
        <w:tabs>
          <w:tab w:val="right" w:leader="dot" w:pos="9349"/>
        </w:tabs>
        <w:ind w:firstLineChars="0" w:firstLine="0"/>
        <w:rPr>
          <w:rFonts w:cs="Times New Roman"/>
        </w:rPr>
      </w:pPr>
      <w:hyperlink w:anchor="_Toc17419" w:history="1">
        <w:r>
          <w:rPr>
            <w:rFonts w:cs="Times New Roman"/>
            <w:kern w:val="0"/>
          </w:rPr>
          <w:t xml:space="preserve">9 </w:t>
        </w:r>
        <w:r>
          <w:rPr>
            <w:rFonts w:cs="Times New Roman"/>
            <w:kern w:val="0"/>
          </w:rPr>
          <w:t>复合型消能器</w:t>
        </w:r>
      </w:hyperlink>
    </w:p>
    <w:p w:rsidR="00F927D3" w:rsidRDefault="00684734">
      <w:pPr>
        <w:tabs>
          <w:tab w:val="right" w:leader="dot" w:pos="9349"/>
        </w:tabs>
        <w:ind w:firstLineChars="0" w:firstLine="0"/>
        <w:rPr>
          <w:rFonts w:cs="Times New Roman"/>
        </w:rPr>
      </w:pPr>
      <w:hyperlink w:anchor="_Toc21449" w:history="1">
        <w:r>
          <w:rPr>
            <w:rFonts w:cs="Times New Roman"/>
            <w:kern w:val="0"/>
          </w:rPr>
          <w:t xml:space="preserve">10 </w:t>
        </w:r>
        <w:r>
          <w:rPr>
            <w:rFonts w:cs="Times New Roman"/>
            <w:kern w:val="0"/>
          </w:rPr>
          <w:t>检验规则及判定</w:t>
        </w:r>
      </w:hyperlink>
    </w:p>
    <w:p w:rsidR="00F927D3" w:rsidRDefault="00684734">
      <w:pPr>
        <w:tabs>
          <w:tab w:val="right" w:leader="dot" w:pos="9349"/>
        </w:tabs>
        <w:ind w:leftChars="200" w:left="480" w:firstLineChars="0" w:firstLine="0"/>
        <w:rPr>
          <w:rFonts w:cs="Times New Roman"/>
        </w:rPr>
      </w:pPr>
      <w:hyperlink w:anchor="_Toc9473" w:history="1">
        <w:r>
          <w:rPr>
            <w:rFonts w:cs="Times New Roman"/>
            <w:kern w:val="0"/>
          </w:rPr>
          <w:t>10.1</w:t>
        </w:r>
        <w:r>
          <w:rPr>
            <w:rFonts w:cs="Times New Roman"/>
            <w:kern w:val="0"/>
          </w:rPr>
          <w:t>检验分类</w:t>
        </w:r>
      </w:hyperlink>
    </w:p>
    <w:p w:rsidR="00F927D3" w:rsidRDefault="00684734">
      <w:pPr>
        <w:tabs>
          <w:tab w:val="right" w:leader="dot" w:pos="9349"/>
        </w:tabs>
        <w:ind w:leftChars="200" w:left="480" w:firstLineChars="0" w:firstLine="0"/>
        <w:rPr>
          <w:rFonts w:cs="Times New Roman"/>
        </w:rPr>
      </w:pPr>
      <w:hyperlink w:anchor="_Toc22006" w:history="1">
        <w:r>
          <w:rPr>
            <w:rFonts w:cs="Times New Roman"/>
            <w:kern w:val="0"/>
          </w:rPr>
          <w:t>10.2</w:t>
        </w:r>
        <w:r>
          <w:rPr>
            <w:rFonts w:cs="Times New Roman"/>
            <w:kern w:val="0"/>
          </w:rPr>
          <w:t>原材料检验</w:t>
        </w:r>
      </w:hyperlink>
    </w:p>
    <w:p w:rsidR="00F927D3" w:rsidRDefault="00684734">
      <w:pPr>
        <w:tabs>
          <w:tab w:val="right" w:leader="dot" w:pos="9349"/>
        </w:tabs>
        <w:ind w:leftChars="200" w:left="480" w:firstLineChars="0" w:firstLine="0"/>
        <w:rPr>
          <w:rFonts w:cs="Times New Roman"/>
        </w:rPr>
      </w:pPr>
      <w:hyperlink w:anchor="_Toc9068" w:history="1">
        <w:r>
          <w:rPr>
            <w:rFonts w:cs="Times New Roman"/>
            <w:kern w:val="0"/>
          </w:rPr>
          <w:t>10.3</w:t>
        </w:r>
        <w:r>
          <w:rPr>
            <w:rFonts w:cs="Times New Roman"/>
            <w:kern w:val="0"/>
          </w:rPr>
          <w:t>型式检验</w:t>
        </w:r>
      </w:hyperlink>
    </w:p>
    <w:p w:rsidR="00F927D3" w:rsidRDefault="00684734">
      <w:pPr>
        <w:tabs>
          <w:tab w:val="right" w:leader="dot" w:pos="9349"/>
        </w:tabs>
        <w:ind w:leftChars="200" w:left="480" w:firstLineChars="0" w:firstLine="0"/>
        <w:rPr>
          <w:rFonts w:cs="Times New Roman"/>
        </w:rPr>
      </w:pPr>
      <w:hyperlink w:anchor="_Toc28534" w:history="1">
        <w:r>
          <w:rPr>
            <w:rFonts w:cs="Times New Roman"/>
            <w:kern w:val="0"/>
          </w:rPr>
          <w:t>10.4</w:t>
        </w:r>
        <w:r>
          <w:rPr>
            <w:rFonts w:cs="Times New Roman"/>
            <w:kern w:val="0"/>
          </w:rPr>
          <w:t>出厂检验</w:t>
        </w:r>
      </w:hyperlink>
    </w:p>
    <w:p w:rsidR="00F927D3" w:rsidRDefault="00684734">
      <w:pPr>
        <w:tabs>
          <w:tab w:val="right" w:leader="dot" w:pos="9349"/>
        </w:tabs>
        <w:ind w:leftChars="200" w:left="480" w:firstLineChars="0" w:firstLine="0"/>
        <w:rPr>
          <w:rFonts w:cs="Times New Roman"/>
        </w:rPr>
      </w:pPr>
      <w:hyperlink w:anchor="_Toc11715" w:history="1">
        <w:r>
          <w:rPr>
            <w:rFonts w:cs="Times New Roman"/>
            <w:kern w:val="0"/>
          </w:rPr>
          <w:t>10.5</w:t>
        </w:r>
        <w:r>
          <w:rPr>
            <w:rFonts w:cs="Times New Roman"/>
            <w:kern w:val="0"/>
          </w:rPr>
          <w:t>见证检验</w:t>
        </w:r>
      </w:hyperlink>
    </w:p>
    <w:p w:rsidR="00F927D3" w:rsidRDefault="00684734">
      <w:pPr>
        <w:tabs>
          <w:tab w:val="right" w:leader="dot" w:pos="9349"/>
        </w:tabs>
        <w:ind w:leftChars="200" w:left="480" w:firstLineChars="0" w:firstLine="0"/>
        <w:rPr>
          <w:rFonts w:cs="Times New Roman"/>
        </w:rPr>
      </w:pPr>
      <w:hyperlink w:anchor="_Toc3211" w:history="1">
        <w:r>
          <w:rPr>
            <w:rFonts w:cs="Times New Roman"/>
            <w:kern w:val="0"/>
          </w:rPr>
          <w:t>10.6</w:t>
        </w:r>
        <w:r>
          <w:rPr>
            <w:rFonts w:cs="Times New Roman"/>
            <w:kern w:val="0"/>
          </w:rPr>
          <w:t>检验项目</w:t>
        </w:r>
      </w:hyperlink>
    </w:p>
    <w:p w:rsidR="00F927D3" w:rsidRDefault="00684734">
      <w:pPr>
        <w:tabs>
          <w:tab w:val="right" w:leader="dot" w:pos="9349"/>
        </w:tabs>
        <w:ind w:firstLineChars="0" w:firstLine="0"/>
        <w:rPr>
          <w:rFonts w:cs="Times New Roman"/>
        </w:rPr>
      </w:pPr>
      <w:hyperlink w:anchor="_Toc24667" w:history="1">
        <w:r>
          <w:rPr>
            <w:rFonts w:cs="Times New Roman"/>
            <w:bCs/>
            <w:kern w:val="44"/>
          </w:rPr>
          <w:t>附录</w:t>
        </w:r>
        <w:r>
          <w:rPr>
            <w:rFonts w:cs="Times New Roman"/>
            <w:bCs/>
            <w:kern w:val="44"/>
          </w:rPr>
          <w:t xml:space="preserve">A </w:t>
        </w:r>
        <w:r>
          <w:rPr>
            <w:rFonts w:cs="Times New Roman"/>
            <w:bCs/>
            <w:kern w:val="44"/>
          </w:rPr>
          <w:t>消能阻尼器模型参数</w:t>
        </w:r>
      </w:hyperlink>
    </w:p>
    <w:p w:rsidR="00F927D3" w:rsidRDefault="00684734">
      <w:pPr>
        <w:tabs>
          <w:tab w:val="right" w:leader="dot" w:pos="9349"/>
        </w:tabs>
        <w:ind w:leftChars="200" w:left="480" w:firstLineChars="0" w:firstLine="0"/>
        <w:rPr>
          <w:rFonts w:cs="Times New Roman"/>
        </w:rPr>
      </w:pPr>
      <w:hyperlink w:anchor="_Toc7397" w:history="1">
        <w:r>
          <w:rPr>
            <w:rFonts w:cs="Times New Roman"/>
            <w:kern w:val="0"/>
          </w:rPr>
          <w:t>A.1</w:t>
        </w:r>
        <w:r>
          <w:rPr>
            <w:rFonts w:cs="Times New Roman"/>
            <w:kern w:val="0"/>
          </w:rPr>
          <w:t>位移型消能器滞回曲线及本构方程</w:t>
        </w:r>
      </w:hyperlink>
    </w:p>
    <w:p w:rsidR="00F927D3" w:rsidRDefault="00684734">
      <w:pPr>
        <w:tabs>
          <w:tab w:val="right" w:leader="dot" w:pos="9349"/>
        </w:tabs>
        <w:ind w:leftChars="200" w:left="480" w:firstLineChars="0" w:firstLine="0"/>
        <w:rPr>
          <w:rFonts w:cs="Times New Roman"/>
        </w:rPr>
      </w:pPr>
      <w:hyperlink w:anchor="_Toc26121" w:history="1">
        <w:r>
          <w:rPr>
            <w:rFonts w:cs="Times New Roman"/>
            <w:kern w:val="0"/>
          </w:rPr>
          <w:t>A.2</w:t>
        </w:r>
        <w:r>
          <w:rPr>
            <w:rFonts w:cs="Times New Roman"/>
            <w:kern w:val="0"/>
          </w:rPr>
          <w:t>速度型消能器滞回曲线及本构方程</w:t>
        </w:r>
      </w:hyperlink>
    </w:p>
    <w:p w:rsidR="00F927D3" w:rsidRDefault="00684734">
      <w:pPr>
        <w:tabs>
          <w:tab w:val="right" w:leader="dot" w:pos="9349"/>
        </w:tabs>
        <w:ind w:firstLineChars="0" w:firstLine="0"/>
        <w:rPr>
          <w:rFonts w:cs="Times New Roman"/>
        </w:rPr>
      </w:pPr>
      <w:hyperlink w:anchor="_Toc23109" w:history="1">
        <w:r>
          <w:rPr>
            <w:rFonts w:cs="Times New Roman"/>
            <w:bCs/>
            <w:kern w:val="44"/>
          </w:rPr>
          <w:t>附录</w:t>
        </w:r>
        <w:r>
          <w:rPr>
            <w:rFonts w:cs="Times New Roman"/>
            <w:bCs/>
            <w:kern w:val="44"/>
          </w:rPr>
          <w:t xml:space="preserve">B </w:t>
        </w:r>
        <w:r>
          <w:rPr>
            <w:rFonts w:cs="Times New Roman"/>
            <w:bCs/>
            <w:kern w:val="44"/>
          </w:rPr>
          <w:t>服役期消能阻尼器的检查内容和维护方法</w:t>
        </w:r>
      </w:hyperlink>
    </w:p>
    <w:p w:rsidR="00F927D3" w:rsidRDefault="00684734">
      <w:pPr>
        <w:ind w:firstLineChars="0" w:firstLine="0"/>
      </w:pPr>
      <w:hyperlink w:anchor="_Toc27333" w:history="1">
        <w:r>
          <w:rPr>
            <w:rFonts w:cs="Times New Roman"/>
            <w:bCs/>
            <w:kern w:val="44"/>
          </w:rPr>
          <w:t>附录</w:t>
        </w:r>
        <w:r>
          <w:rPr>
            <w:rFonts w:cs="Times New Roman"/>
            <w:bCs/>
            <w:kern w:val="44"/>
          </w:rPr>
          <w:t xml:space="preserve">C </w:t>
        </w:r>
        <w:r>
          <w:rPr>
            <w:rFonts w:cs="Times New Roman"/>
            <w:bCs/>
            <w:kern w:val="44"/>
          </w:rPr>
          <w:t>建议标准化产品规格及性能参数</w:t>
        </w:r>
      </w:hyperlink>
    </w:p>
    <w:p w:rsidR="00F927D3" w:rsidRDefault="00684734">
      <w:pPr>
        <w:ind w:firstLineChars="0" w:firstLine="0"/>
        <w:rPr>
          <w:b/>
          <w:bCs/>
          <w:szCs w:val="32"/>
        </w:rPr>
      </w:pPr>
      <w:r>
        <w:rPr>
          <w:rFonts w:hint="eastAsia"/>
          <w:b/>
          <w:bCs/>
          <w:szCs w:val="32"/>
        </w:rPr>
        <w:t>5</w:t>
      </w:r>
      <w:r>
        <w:rPr>
          <w:rFonts w:hint="eastAsia"/>
          <w:b/>
          <w:bCs/>
          <w:szCs w:val="32"/>
        </w:rPr>
        <w:t>技术指标确定的依据</w:t>
      </w:r>
    </w:p>
    <w:p w:rsidR="00F927D3" w:rsidRDefault="00684734" w:rsidP="00F40D64">
      <w:pPr>
        <w:ind w:firstLine="480"/>
      </w:pPr>
      <w:r>
        <w:rPr>
          <w:rFonts w:hint="eastAsia"/>
        </w:rPr>
        <w:t>《建筑消能减震及隔震技术标准》</w:t>
      </w:r>
      <w:r>
        <w:rPr>
          <w:rFonts w:hint="eastAsia"/>
        </w:rPr>
        <w:t>DG/T</w:t>
      </w:r>
      <w:r>
        <w:rPr>
          <w:rFonts w:hint="eastAsia"/>
        </w:rPr>
        <w:t xml:space="preserve"> </w:t>
      </w:r>
      <w:r>
        <w:rPr>
          <w:rFonts w:hint="eastAsia"/>
        </w:rPr>
        <w:t>08-2326-2020</w:t>
      </w:r>
    </w:p>
    <w:p w:rsidR="00F927D3" w:rsidRDefault="00684734" w:rsidP="00F40D64">
      <w:pPr>
        <w:ind w:firstLine="480"/>
      </w:pPr>
      <w:r>
        <w:rPr>
          <w:rFonts w:hint="eastAsia"/>
        </w:rPr>
        <w:t>《建筑消能阻尼器》</w:t>
      </w:r>
      <w:r>
        <w:rPr>
          <w:rFonts w:hint="eastAsia"/>
        </w:rPr>
        <w:t>JG/T 209</w:t>
      </w:r>
      <w:r>
        <w:rPr>
          <w:rFonts w:hint="eastAsia"/>
        </w:rPr>
        <w:t>-20XX</w:t>
      </w:r>
    </w:p>
    <w:p w:rsidR="00F927D3" w:rsidRDefault="00684734" w:rsidP="00F40D64">
      <w:pPr>
        <w:ind w:firstLine="480"/>
      </w:pPr>
      <w:r>
        <w:rPr>
          <w:rFonts w:hint="eastAsia"/>
        </w:rPr>
        <w:t>《建筑消能减震装置通用技术要求》</w:t>
      </w:r>
      <w:r>
        <w:rPr>
          <w:rFonts w:hint="eastAsia"/>
        </w:rPr>
        <w:t>GB/T XXXX-20XX</w:t>
      </w:r>
    </w:p>
    <w:p w:rsidR="00F927D3" w:rsidRDefault="00684734" w:rsidP="00F40D64">
      <w:pPr>
        <w:ind w:firstLine="480"/>
      </w:pPr>
      <w:r>
        <w:rPr>
          <w:rFonts w:hint="eastAsia"/>
        </w:rPr>
        <w:t>《建筑消能减震技术规程》</w:t>
      </w:r>
      <w:r>
        <w:rPr>
          <w:rFonts w:hint="eastAsia"/>
        </w:rPr>
        <w:t>JGJ 297-2013</w:t>
      </w:r>
    </w:p>
    <w:p w:rsidR="00F927D3" w:rsidRDefault="00684734" w:rsidP="00F40D64">
      <w:pPr>
        <w:ind w:firstLine="480"/>
      </w:pPr>
      <w:r>
        <w:rPr>
          <w:rFonts w:hint="eastAsia"/>
        </w:rPr>
        <w:t>《建筑抗震设计规范》</w:t>
      </w:r>
      <w:r>
        <w:rPr>
          <w:rFonts w:hint="eastAsia"/>
        </w:rPr>
        <w:t>GB 50011-2010</w:t>
      </w:r>
    </w:p>
    <w:p w:rsidR="00F927D3" w:rsidRDefault="00684734">
      <w:pPr>
        <w:ind w:firstLineChars="0" w:firstLine="0"/>
        <w:rPr>
          <w:b/>
          <w:bCs/>
          <w:szCs w:val="32"/>
        </w:rPr>
      </w:pPr>
      <w:r>
        <w:rPr>
          <w:rFonts w:hint="eastAsia"/>
          <w:b/>
          <w:bCs/>
          <w:szCs w:val="32"/>
        </w:rPr>
        <w:t>6</w:t>
      </w:r>
      <w:r>
        <w:rPr>
          <w:rFonts w:hint="eastAsia"/>
          <w:b/>
          <w:bCs/>
          <w:szCs w:val="32"/>
        </w:rPr>
        <w:t>重大分歧意见的处理过程和依据</w:t>
      </w:r>
    </w:p>
    <w:p w:rsidR="00F927D3" w:rsidRDefault="00684734" w:rsidP="00F40D64">
      <w:pPr>
        <w:ind w:firstLine="482"/>
        <w:rPr>
          <w:rFonts w:ascii="Calibri" w:hAnsi="Calibri" w:cs="Times New Roman"/>
        </w:rPr>
      </w:pPr>
      <w:r>
        <w:rPr>
          <w:rFonts w:ascii="Calibri" w:hAnsi="Calibri" w:cs="Times New Roman" w:hint="eastAsia"/>
          <w:b/>
          <w:bCs/>
        </w:rPr>
        <w:t>分歧</w:t>
      </w:r>
      <w:r>
        <w:rPr>
          <w:rFonts w:ascii="Calibri" w:hAnsi="Calibri" w:cs="Times New Roman" w:hint="eastAsia"/>
          <w:b/>
          <w:bCs/>
        </w:rPr>
        <w:t>1</w:t>
      </w:r>
      <w:r>
        <w:rPr>
          <w:rFonts w:ascii="Calibri" w:hAnsi="Calibri" w:cs="Times New Roman" w:hint="eastAsia"/>
          <w:b/>
          <w:bCs/>
        </w:rPr>
        <w:t>：</w:t>
      </w:r>
      <w:r>
        <w:rPr>
          <w:rFonts w:ascii="Calibri" w:hAnsi="Calibri" w:cs="Times New Roman" w:hint="eastAsia"/>
        </w:rPr>
        <w:t>现行标准中针对阻尼器疲劳性能的检测方法中的加载圈数要求差异较大，分别为不少于</w:t>
      </w:r>
      <w:r>
        <w:rPr>
          <w:rFonts w:ascii="Calibri" w:hAnsi="Calibri" w:cs="Times New Roman" w:hint="eastAsia"/>
        </w:rPr>
        <w:t>10</w:t>
      </w:r>
      <w:r>
        <w:rPr>
          <w:rFonts w:ascii="Calibri" w:hAnsi="Calibri" w:cs="Times New Roman" w:hint="eastAsia"/>
        </w:rPr>
        <w:t>次、</w:t>
      </w:r>
      <w:r>
        <w:rPr>
          <w:rFonts w:ascii="Calibri" w:hAnsi="Calibri" w:cs="Times New Roman" w:hint="eastAsia"/>
        </w:rPr>
        <w:t>30</w:t>
      </w:r>
      <w:r>
        <w:rPr>
          <w:rFonts w:ascii="Calibri" w:hAnsi="Calibri" w:cs="Times New Roman" w:hint="eastAsia"/>
        </w:rPr>
        <w:t>次，部分省份地方标准甚至将要求提高到了</w:t>
      </w:r>
      <w:r>
        <w:rPr>
          <w:rFonts w:ascii="Calibri" w:hAnsi="Calibri" w:cs="Times New Roman" w:hint="eastAsia"/>
        </w:rPr>
        <w:t>60</w:t>
      </w:r>
      <w:r>
        <w:rPr>
          <w:rFonts w:ascii="Calibri" w:hAnsi="Calibri" w:cs="Times New Roman" w:hint="eastAsia"/>
        </w:rPr>
        <w:t>次。</w:t>
      </w:r>
      <w:r>
        <w:rPr>
          <w:rFonts w:ascii="Calibri" w:hAnsi="Calibri" w:cs="Times New Roman" w:hint="eastAsia"/>
        </w:rPr>
        <w:t>60</w:t>
      </w:r>
      <w:r>
        <w:rPr>
          <w:rFonts w:ascii="Calibri" w:hAnsi="Calibri" w:cs="Times New Roman" w:hint="eastAsia"/>
        </w:rPr>
        <w:t>次的疲劳循环次数对于黏弹性阻尼器、金属阻尼器都是较难实现的，其中黏弹性材料经过</w:t>
      </w:r>
      <w:r>
        <w:rPr>
          <w:rFonts w:ascii="Calibri" w:hAnsi="Calibri" w:cs="Times New Roman" w:hint="eastAsia"/>
        </w:rPr>
        <w:t>60</w:t>
      </w:r>
      <w:r>
        <w:rPr>
          <w:rFonts w:ascii="Calibri" w:hAnsi="Calibri" w:cs="Times New Roman" w:hint="eastAsia"/>
        </w:rPr>
        <w:t>次循环加载后温度升高，很难满足</w:t>
      </w:r>
      <w:r>
        <w:rPr>
          <w:rFonts w:ascii="Calibri" w:hAnsi="Calibri" w:cs="Times New Roman" w:hint="eastAsia"/>
        </w:rPr>
        <w:t>15%</w:t>
      </w:r>
      <w:r>
        <w:rPr>
          <w:rFonts w:ascii="Calibri" w:hAnsi="Calibri" w:cs="Times New Roman" w:hint="eastAsia"/>
        </w:rPr>
        <w:t>的要求；而金属阻尼器焊缝处较难经受</w:t>
      </w:r>
      <w:r>
        <w:rPr>
          <w:rFonts w:ascii="Calibri" w:hAnsi="Calibri" w:cs="Times New Roman" w:hint="eastAsia"/>
        </w:rPr>
        <w:t>60</w:t>
      </w:r>
      <w:r>
        <w:rPr>
          <w:rFonts w:ascii="Calibri" w:hAnsi="Calibri" w:cs="Times New Roman" w:hint="eastAsia"/>
        </w:rPr>
        <w:t>圈的反复加载，部分地方标准对阻尼器性能要求过高，导致部分合格产品难以市场化。</w:t>
      </w:r>
    </w:p>
    <w:p w:rsidR="00F927D3" w:rsidRDefault="00684734" w:rsidP="00F40D64">
      <w:pPr>
        <w:ind w:firstLine="482"/>
      </w:pPr>
      <w:r>
        <w:rPr>
          <w:rFonts w:ascii="Calibri" w:hAnsi="Calibri" w:cs="Times New Roman" w:hint="eastAsia"/>
          <w:b/>
          <w:bCs/>
        </w:rPr>
        <w:t>处理过程和依据：</w:t>
      </w:r>
      <w:r>
        <w:rPr>
          <w:rFonts w:ascii="Calibri" w:hAnsi="Calibri" w:cs="Times New Roman" w:hint="eastAsia"/>
        </w:rPr>
        <w:t>依据</w:t>
      </w:r>
      <w:r>
        <w:rPr>
          <w:rFonts w:hint="eastAsia"/>
        </w:rPr>
        <w:t>《建筑消能阻尼器》</w:t>
      </w:r>
      <w:r>
        <w:rPr>
          <w:rFonts w:hint="eastAsia"/>
        </w:rPr>
        <w:t>JG/T 209-20XX</w:t>
      </w:r>
      <w:r>
        <w:rPr>
          <w:rFonts w:hint="eastAsia"/>
        </w:rPr>
        <w:t>，最终确定</w:t>
      </w:r>
      <w:r>
        <w:rPr>
          <w:rFonts w:hint="eastAsia"/>
        </w:rPr>
        <w:t>疲劳试验应连续往复加载</w:t>
      </w:r>
      <w:r>
        <w:rPr>
          <w:rFonts w:hint="eastAsia"/>
        </w:rPr>
        <w:t>30</w:t>
      </w:r>
      <w:r>
        <w:rPr>
          <w:rFonts w:hint="eastAsia"/>
        </w:rPr>
        <w:t>个循环；对于位于高烈度设防地区、地震重点</w:t>
      </w:r>
      <w:r>
        <w:rPr>
          <w:rFonts w:hint="eastAsia"/>
        </w:rPr>
        <w:t>监视防御区的新建学校、幼儿园、医院、养老机构、儿童福利机构、应急指挥中心、应急避难场所、广播电视等建筑，建筑消能阻尼器疲劳试验应进行两次连续往复加载，每次加载</w:t>
      </w:r>
      <w:r>
        <w:rPr>
          <w:rFonts w:hint="eastAsia"/>
        </w:rPr>
        <w:t>30</w:t>
      </w:r>
      <w:r>
        <w:rPr>
          <w:rFonts w:hint="eastAsia"/>
        </w:rPr>
        <w:t>个循环，两次加载间隔不超过</w:t>
      </w:r>
      <w:r>
        <w:rPr>
          <w:rFonts w:hint="eastAsia"/>
        </w:rPr>
        <w:t>24h</w:t>
      </w:r>
      <w:r>
        <w:rPr>
          <w:rFonts w:hint="eastAsia"/>
        </w:rPr>
        <w:t>。</w:t>
      </w:r>
      <w:r>
        <w:rPr>
          <w:rFonts w:hint="eastAsia"/>
        </w:rPr>
        <w:t>再根据不同消能器的特性进行</w:t>
      </w:r>
      <w:r>
        <w:rPr>
          <w:rFonts w:hint="eastAsia"/>
        </w:rPr>
        <w:lastRenderedPageBreak/>
        <w:t>疲劳性能加载幅值和圈数的调整。</w:t>
      </w:r>
    </w:p>
    <w:p w:rsidR="00F927D3" w:rsidRDefault="00684734" w:rsidP="00F40D64">
      <w:pPr>
        <w:ind w:firstLine="482"/>
        <w:rPr>
          <w:rFonts w:ascii="Calibri" w:hAnsi="Calibri" w:cs="Times New Roman"/>
        </w:rPr>
      </w:pPr>
      <w:r>
        <w:rPr>
          <w:rFonts w:ascii="Calibri" w:hAnsi="Calibri" w:cs="Times New Roman" w:hint="eastAsia"/>
          <w:b/>
          <w:bCs/>
        </w:rPr>
        <w:t>分歧</w:t>
      </w:r>
      <w:r>
        <w:rPr>
          <w:rFonts w:ascii="Calibri" w:hAnsi="Calibri" w:cs="Times New Roman" w:hint="eastAsia"/>
          <w:b/>
          <w:bCs/>
        </w:rPr>
        <w:t>2</w:t>
      </w:r>
      <w:r>
        <w:rPr>
          <w:rFonts w:ascii="Calibri" w:hAnsi="Calibri" w:cs="Times New Roman" w:hint="eastAsia"/>
          <w:b/>
          <w:bCs/>
        </w:rPr>
        <w:t>：</w:t>
      </w:r>
      <w:r>
        <w:rPr>
          <w:rFonts w:ascii="Calibri" w:hAnsi="Calibri" w:cs="Times New Roman" w:hint="eastAsia"/>
        </w:rPr>
        <w:t>疲劳试验后的黏滞消能器能否用于主体结构。</w:t>
      </w:r>
    </w:p>
    <w:p w:rsidR="00F927D3" w:rsidRDefault="00684734" w:rsidP="00F40D64">
      <w:pPr>
        <w:ind w:firstLine="482"/>
      </w:pPr>
      <w:r>
        <w:rPr>
          <w:rFonts w:ascii="Calibri" w:hAnsi="Calibri" w:cs="Times New Roman" w:hint="eastAsia"/>
          <w:b/>
          <w:bCs/>
        </w:rPr>
        <w:t>处理过程和依据：</w:t>
      </w:r>
      <w:r>
        <w:rPr>
          <w:rFonts w:ascii="Calibri" w:hAnsi="Calibri" w:cs="Times New Roman" w:hint="eastAsia"/>
        </w:rPr>
        <w:t>依据</w:t>
      </w:r>
      <w:r>
        <w:rPr>
          <w:rFonts w:hint="eastAsia"/>
        </w:rPr>
        <w:t>《建筑抗震设计规范》</w:t>
      </w:r>
      <w:r>
        <w:rPr>
          <w:rFonts w:hint="eastAsia"/>
        </w:rPr>
        <w:t>GB 50011-2010</w:t>
      </w:r>
      <w:r>
        <w:rPr>
          <w:rFonts w:hint="eastAsia"/>
        </w:rPr>
        <w:t>的第</w:t>
      </w:r>
      <w:r>
        <w:rPr>
          <w:rFonts w:hint="eastAsia"/>
        </w:rPr>
        <w:t>159</w:t>
      </w:r>
      <w:r>
        <w:rPr>
          <w:rFonts w:hint="eastAsia"/>
        </w:rPr>
        <w:t>页确定经过疲劳试验后的阻尼器应能用于主体结构。</w:t>
      </w:r>
    </w:p>
    <w:p w:rsidR="00F927D3" w:rsidRDefault="00684734" w:rsidP="00F40D64">
      <w:pPr>
        <w:ind w:firstLine="482"/>
        <w:rPr>
          <w:rFonts w:ascii="Calibri" w:hAnsi="Calibri" w:cs="Times New Roman"/>
        </w:rPr>
      </w:pPr>
      <w:r>
        <w:rPr>
          <w:rFonts w:ascii="Calibri" w:hAnsi="Calibri" w:cs="Times New Roman" w:hint="eastAsia"/>
          <w:b/>
          <w:bCs/>
        </w:rPr>
        <w:t>分歧</w:t>
      </w:r>
      <w:r>
        <w:rPr>
          <w:rFonts w:ascii="Calibri" w:hAnsi="Calibri" w:cs="Times New Roman" w:hint="eastAsia"/>
          <w:b/>
          <w:bCs/>
        </w:rPr>
        <w:t>3</w:t>
      </w:r>
      <w:r>
        <w:rPr>
          <w:rFonts w:ascii="Calibri" w:hAnsi="Calibri" w:cs="Times New Roman" w:hint="eastAsia"/>
          <w:b/>
          <w:bCs/>
        </w:rPr>
        <w:t>：</w:t>
      </w:r>
      <w:r>
        <w:rPr>
          <w:rFonts w:ascii="Calibri" w:hAnsi="Calibri" w:cs="Times New Roman" w:hint="eastAsia"/>
        </w:rPr>
        <w:t>黏弹性阻尼器相关性能的评价指标应是最大阻尼力还是损耗因子和表观弹性模量？</w:t>
      </w:r>
    </w:p>
    <w:p w:rsidR="00F927D3" w:rsidRDefault="00684734" w:rsidP="00F40D64">
      <w:pPr>
        <w:ind w:firstLine="482"/>
        <w:rPr>
          <w:rFonts w:ascii="Calibri" w:hAnsi="Calibri" w:cs="Times New Roman"/>
        </w:rPr>
      </w:pPr>
      <w:r>
        <w:rPr>
          <w:rFonts w:ascii="Calibri" w:hAnsi="Calibri" w:cs="Times New Roman" w:hint="eastAsia"/>
          <w:b/>
          <w:bCs/>
        </w:rPr>
        <w:t>处</w:t>
      </w:r>
      <w:r>
        <w:rPr>
          <w:rFonts w:ascii="Calibri" w:hAnsi="Calibri" w:cs="Times New Roman" w:hint="eastAsia"/>
          <w:b/>
          <w:bCs/>
        </w:rPr>
        <w:t>理过程和依据：</w:t>
      </w:r>
      <w:r>
        <w:rPr>
          <w:rFonts w:ascii="Calibri" w:hAnsi="Calibri" w:cs="Times New Roman" w:hint="eastAsia"/>
        </w:rPr>
        <w:t>由</w:t>
      </w:r>
      <w:r>
        <w:rPr>
          <w:rFonts w:hint="eastAsia"/>
        </w:rPr>
        <w:t>《建筑消能减震及隔震技术标准》</w:t>
      </w:r>
      <w:r>
        <w:rPr>
          <w:rFonts w:hint="eastAsia"/>
        </w:rPr>
        <w:t>DG/T</w:t>
      </w:r>
      <w:r>
        <w:rPr>
          <w:rFonts w:hint="eastAsia"/>
        </w:rPr>
        <w:t xml:space="preserve"> </w:t>
      </w:r>
      <w:r>
        <w:rPr>
          <w:rFonts w:hint="eastAsia"/>
        </w:rPr>
        <w:t>08-2326-2020</w:t>
      </w:r>
      <w:r>
        <w:rPr>
          <w:rFonts w:hint="eastAsia"/>
        </w:rPr>
        <w:t>第</w:t>
      </w:r>
      <w:r>
        <w:rPr>
          <w:rFonts w:hint="eastAsia"/>
        </w:rPr>
        <w:t>47</w:t>
      </w:r>
      <w:r>
        <w:rPr>
          <w:rFonts w:hint="eastAsia"/>
        </w:rPr>
        <w:t>页黏弹性阻尼器的恢复力模型可知，黏弹性阻尼器的</w:t>
      </w:r>
      <w:r>
        <w:rPr>
          <w:rFonts w:ascii="Calibri" w:hAnsi="Calibri" w:cs="Times New Roman" w:hint="eastAsia"/>
        </w:rPr>
        <w:t>损耗因子和表观弹性模量与加载频率和幅值无关，因此用损耗因子和表观弹性模量来表征黏弹性阻尼器的相关性能更合理。</w:t>
      </w:r>
    </w:p>
    <w:p w:rsidR="00F927D3" w:rsidRDefault="00684734">
      <w:pPr>
        <w:ind w:firstLineChars="0" w:firstLine="0"/>
        <w:rPr>
          <w:b/>
          <w:bCs/>
          <w:szCs w:val="32"/>
        </w:rPr>
      </w:pPr>
      <w:r>
        <w:rPr>
          <w:rFonts w:hint="eastAsia"/>
          <w:b/>
          <w:bCs/>
          <w:szCs w:val="32"/>
        </w:rPr>
        <w:t>7</w:t>
      </w:r>
      <w:r>
        <w:rPr>
          <w:rFonts w:hint="eastAsia"/>
          <w:b/>
          <w:bCs/>
          <w:szCs w:val="32"/>
        </w:rPr>
        <w:t>相关法律法规和标准的关系</w:t>
      </w:r>
    </w:p>
    <w:p w:rsidR="00F927D3" w:rsidRDefault="00684734">
      <w:pPr>
        <w:ind w:right="-6" w:firstLine="480"/>
        <w:rPr>
          <w:rFonts w:hAnsi="宋体" w:cs="Times New Roman"/>
          <w:color w:val="000000"/>
        </w:rPr>
      </w:pPr>
      <w:r>
        <w:rPr>
          <w:rFonts w:hAnsi="宋体" w:cs="Times New Roman" w:hint="eastAsia"/>
          <w:color w:val="000000"/>
        </w:rPr>
        <w:t>本规程符合《中华人民共和国标准法》、《</w:t>
      </w:r>
      <w:r>
        <w:rPr>
          <w:rFonts w:ascii="Arial" w:hAnsi="Arial" w:cs="Arial" w:hint="eastAsia"/>
          <w:color w:val="000000"/>
        </w:rPr>
        <w:t>中华人民共和国防震减灾法</w:t>
      </w:r>
      <w:r>
        <w:rPr>
          <w:rFonts w:hAnsi="宋体" w:cs="Times New Roman" w:hint="eastAsia"/>
          <w:color w:val="000000"/>
        </w:rPr>
        <w:t>》，符合国家、行业防御和减轻地震灾害的政策规定。</w:t>
      </w:r>
    </w:p>
    <w:p w:rsidR="00F927D3" w:rsidRDefault="00684734">
      <w:pPr>
        <w:ind w:right="-6" w:firstLineChars="150" w:firstLine="360"/>
        <w:rPr>
          <w:rFonts w:ascii="宋体" w:hAnsi="宋体" w:cs="Times New Roman"/>
          <w:color w:val="000000"/>
        </w:rPr>
      </w:pPr>
      <w:r>
        <w:rPr>
          <w:rFonts w:ascii="宋体" w:hAnsi="宋体" w:cs="Times New Roman"/>
          <w:color w:val="000000"/>
          <w:kern w:val="0"/>
        </w:rPr>
        <w:t>本</w:t>
      </w:r>
      <w:r>
        <w:rPr>
          <w:rFonts w:ascii="宋体" w:hAnsi="宋体" w:cs="Times New Roman" w:hint="eastAsia"/>
          <w:color w:val="000000"/>
          <w:kern w:val="0"/>
        </w:rPr>
        <w:t>规程</w:t>
      </w:r>
      <w:r>
        <w:rPr>
          <w:rFonts w:ascii="宋体" w:hAnsi="宋体" w:cs="Times New Roman"/>
          <w:color w:val="000000"/>
          <w:kern w:val="0"/>
        </w:rPr>
        <w:t>条款引用</w:t>
      </w:r>
      <w:r>
        <w:rPr>
          <w:rFonts w:ascii="宋体" w:hAnsi="宋体" w:cs="Times New Roman"/>
          <w:color w:val="000000"/>
        </w:rPr>
        <w:t>国家</w:t>
      </w:r>
      <w:r>
        <w:rPr>
          <w:rFonts w:ascii="宋体" w:hAnsi="宋体" w:cs="Times New Roman" w:hint="eastAsia"/>
          <w:color w:val="000000"/>
        </w:rPr>
        <w:t>、行业、地方</w:t>
      </w:r>
      <w:r>
        <w:rPr>
          <w:rFonts w:ascii="宋体" w:hAnsi="宋体" w:cs="Times New Roman"/>
          <w:color w:val="000000"/>
        </w:rPr>
        <w:t>强制性</w:t>
      </w:r>
      <w:r>
        <w:rPr>
          <w:rFonts w:ascii="宋体" w:hAnsi="宋体" w:cs="Times New Roman" w:hint="eastAsia"/>
          <w:color w:val="000000"/>
        </w:rPr>
        <w:t>和推荐性</w:t>
      </w:r>
      <w:r>
        <w:rPr>
          <w:rFonts w:ascii="宋体" w:hAnsi="宋体" w:cs="Times New Roman"/>
          <w:color w:val="000000"/>
        </w:rPr>
        <w:t>标准</w:t>
      </w:r>
      <w:r>
        <w:rPr>
          <w:rFonts w:ascii="宋体" w:hAnsi="宋体" w:cs="Times New Roman"/>
          <w:color w:val="000000"/>
          <w:kern w:val="0"/>
        </w:rPr>
        <w:t>的相关规定</w:t>
      </w:r>
      <w:r>
        <w:rPr>
          <w:rFonts w:ascii="宋体" w:hAnsi="宋体" w:cs="Times New Roman" w:hint="eastAsia"/>
          <w:color w:val="000000"/>
          <w:kern w:val="0"/>
        </w:rPr>
        <w:t>，</w:t>
      </w:r>
      <w:r>
        <w:rPr>
          <w:rFonts w:ascii="宋体" w:hAnsi="宋体" w:cs="Times New Roman" w:hint="eastAsia"/>
          <w:color w:val="000000"/>
        </w:rPr>
        <w:t>其引用有关标准的条款而构成本标准条款适用于本标准</w:t>
      </w:r>
      <w:r>
        <w:rPr>
          <w:rFonts w:ascii="宋体" w:hAnsi="宋体" w:cs="Times New Roman"/>
          <w:color w:val="000000"/>
          <w:kern w:val="0"/>
        </w:rPr>
        <w:t>。</w:t>
      </w:r>
      <w:r>
        <w:rPr>
          <w:rFonts w:ascii="宋体" w:hAnsi="宋体" w:cs="Times New Roman"/>
          <w:color w:val="000000"/>
          <w:spacing w:val="-4"/>
          <w:kern w:val="0"/>
        </w:rPr>
        <w:t>本</w:t>
      </w:r>
      <w:r>
        <w:rPr>
          <w:rFonts w:ascii="宋体" w:hAnsi="宋体" w:cs="Times New Roman" w:hint="eastAsia"/>
          <w:color w:val="000000"/>
          <w:spacing w:val="-4"/>
          <w:kern w:val="0"/>
        </w:rPr>
        <w:t>规程</w:t>
      </w:r>
      <w:r>
        <w:rPr>
          <w:rFonts w:ascii="宋体" w:hAnsi="宋体" w:cs="Times New Roman"/>
          <w:color w:val="000000"/>
          <w:spacing w:val="-4"/>
          <w:kern w:val="0"/>
        </w:rPr>
        <w:t>其他条款</w:t>
      </w:r>
      <w:r>
        <w:rPr>
          <w:rFonts w:ascii="宋体" w:hAnsi="宋体" w:cs="Times New Roman" w:hint="eastAsia"/>
          <w:color w:val="000000"/>
          <w:spacing w:val="-4"/>
          <w:kern w:val="0"/>
        </w:rPr>
        <w:t>是</w:t>
      </w:r>
      <w:r>
        <w:rPr>
          <w:rFonts w:ascii="宋体" w:hAnsi="宋体" w:cs="Times New Roman"/>
          <w:color w:val="000000"/>
          <w:spacing w:val="-4"/>
          <w:kern w:val="0"/>
        </w:rPr>
        <w:t>基于国家有关的标准并结合</w:t>
      </w:r>
      <w:r>
        <w:rPr>
          <w:rFonts w:ascii="宋体" w:hAnsi="宋体" w:cs="Times New Roman" w:hint="eastAsia"/>
          <w:color w:val="000000"/>
          <w:spacing w:val="-4"/>
          <w:kern w:val="0"/>
        </w:rPr>
        <w:t>消能阻尼器检测</w:t>
      </w:r>
      <w:r>
        <w:rPr>
          <w:rFonts w:ascii="宋体" w:hAnsi="宋体" w:cs="Times New Roman" w:hint="eastAsia"/>
          <w:color w:val="000000"/>
          <w:spacing w:val="-4"/>
          <w:kern w:val="0"/>
        </w:rPr>
        <w:t>技术</w:t>
      </w:r>
      <w:r>
        <w:rPr>
          <w:rFonts w:ascii="宋体" w:hAnsi="宋体" w:cs="Times New Roman"/>
          <w:color w:val="000000"/>
          <w:spacing w:val="-4"/>
          <w:kern w:val="0"/>
        </w:rPr>
        <w:t>要求提出</w:t>
      </w:r>
      <w:r>
        <w:rPr>
          <w:rFonts w:ascii="宋体" w:hAnsi="宋体" w:cs="Times New Roman" w:hint="eastAsia"/>
          <w:color w:val="000000"/>
          <w:spacing w:val="-4"/>
          <w:kern w:val="0"/>
        </w:rPr>
        <w:t>，</w:t>
      </w:r>
      <w:r>
        <w:rPr>
          <w:rFonts w:ascii="宋体" w:hAnsi="宋体" w:cs="Times New Roman"/>
          <w:color w:val="000000"/>
        </w:rPr>
        <w:t>各项技术指标</w:t>
      </w:r>
      <w:r>
        <w:rPr>
          <w:rFonts w:ascii="宋体" w:hAnsi="宋体" w:cs="Times New Roman" w:hint="eastAsia"/>
          <w:color w:val="000000"/>
        </w:rPr>
        <w:t>和检测</w:t>
      </w:r>
      <w:r>
        <w:rPr>
          <w:rFonts w:ascii="宋体" w:hAnsi="宋体" w:cs="Times New Roman"/>
          <w:color w:val="000000"/>
        </w:rPr>
        <w:t>要求</w:t>
      </w:r>
      <w:r>
        <w:rPr>
          <w:rFonts w:ascii="宋体" w:hAnsi="宋体" w:cs="Times New Roman" w:hint="eastAsia"/>
          <w:color w:val="000000"/>
        </w:rPr>
        <w:t>均</w:t>
      </w:r>
      <w:r>
        <w:rPr>
          <w:rFonts w:ascii="宋体" w:hAnsi="宋体" w:cs="Times New Roman"/>
          <w:color w:val="000000"/>
        </w:rPr>
        <w:t>符合国家法律、法规的有关规定</w:t>
      </w:r>
      <w:r>
        <w:rPr>
          <w:rFonts w:ascii="宋体" w:hAnsi="宋体" w:cs="Times New Roman" w:hint="eastAsia"/>
          <w:color w:val="000000"/>
        </w:rPr>
        <w:t>。</w:t>
      </w:r>
    </w:p>
    <w:p w:rsidR="00F927D3" w:rsidRDefault="00684734">
      <w:pPr>
        <w:ind w:right="-6" w:firstLineChars="150" w:firstLine="360"/>
        <w:rPr>
          <w:rFonts w:ascii="宋体" w:hAnsi="宋体" w:cs="Times New Roman"/>
          <w:color w:val="000000"/>
        </w:rPr>
      </w:pPr>
      <w:r>
        <w:rPr>
          <w:rFonts w:ascii="Calibri" w:hAnsi="Calibri" w:cs="Times New Roman" w:hint="eastAsia"/>
        </w:rPr>
        <w:t>本次标准制定响应《建设工程抗震管理条例》第十七条规定：“国务院有关部门和国务院标准化行政主管部门应当依据各自职责推动隔震减震装置相关技术标准的制定，明确通用技术要求。鼓励隔震减震装置生产企业制定严于国家标准、行业标准的企业标准”。第十八条的规定：“隔震减震装置用于建设工程前，施工单位应当在建设单位或者工程监理单位监督下进行取样，送建设单位委托的具有相应建设工程质量检测资质的机构进行检测。禁止使用不合格的隔震减震装置。工程质量检测机构应当建立建设工程过程数据和结果数据、检测影像资料及检测报告记录与留存制度，对</w:t>
      </w:r>
      <w:r>
        <w:rPr>
          <w:rFonts w:ascii="Calibri" w:hAnsi="Calibri" w:cs="Times New Roman" w:hint="eastAsia"/>
        </w:rPr>
        <w:t>检测数据和检测报告的真实性、准确性负责，不得出具虚假的检测数据和检测报告。”明确取样规则及数据、影像资料、报告的留存制度。</w:t>
      </w:r>
    </w:p>
    <w:p w:rsidR="00F927D3" w:rsidRDefault="00684734">
      <w:pPr>
        <w:ind w:firstLineChars="0" w:firstLine="0"/>
        <w:rPr>
          <w:b/>
          <w:bCs/>
          <w:szCs w:val="32"/>
        </w:rPr>
      </w:pPr>
      <w:r>
        <w:rPr>
          <w:rFonts w:hint="eastAsia"/>
          <w:b/>
          <w:bCs/>
          <w:szCs w:val="32"/>
        </w:rPr>
        <w:t>8</w:t>
      </w:r>
      <w:r>
        <w:rPr>
          <w:rFonts w:hint="eastAsia"/>
          <w:b/>
          <w:bCs/>
          <w:szCs w:val="32"/>
        </w:rPr>
        <w:t>推广实施建议</w:t>
      </w:r>
    </w:p>
    <w:p w:rsidR="00F927D3" w:rsidRDefault="00684734" w:rsidP="00F40D64">
      <w:pPr>
        <w:ind w:firstLine="480"/>
      </w:pPr>
      <w:r>
        <w:rPr>
          <w:rFonts w:hint="eastAsia"/>
        </w:rPr>
        <w:t>有关行政主管部门对省内建设部门、质监站等部门进行标准宣贯，使用减隔</w:t>
      </w:r>
      <w:r>
        <w:rPr>
          <w:rFonts w:hint="eastAsia"/>
        </w:rPr>
        <w:lastRenderedPageBreak/>
        <w:t>震技术的工程项目推荐使用该标准；检测委托方必须是工程的建设部门，由产品单位委托的检测无效；住建部《建设工程质量检测机构资质标准》中，首次将消能减震、隔震装置纳入建筑材料及构配件专项检测中，该政策实施后，阻尼器产品将被纳入工程验收强检名录，届时对于省内项目，则需要做好标准执行情况的监督和检查。</w:t>
      </w:r>
    </w:p>
    <w:p w:rsidR="00F927D3" w:rsidRDefault="00684734">
      <w:pPr>
        <w:ind w:firstLineChars="0" w:firstLine="0"/>
        <w:rPr>
          <w:b/>
          <w:bCs/>
          <w:szCs w:val="32"/>
        </w:rPr>
      </w:pPr>
      <w:r>
        <w:rPr>
          <w:rFonts w:hint="eastAsia"/>
          <w:b/>
          <w:bCs/>
          <w:szCs w:val="32"/>
        </w:rPr>
        <w:t>9</w:t>
      </w:r>
      <w:r>
        <w:rPr>
          <w:rFonts w:hint="eastAsia"/>
          <w:b/>
          <w:bCs/>
          <w:szCs w:val="32"/>
        </w:rPr>
        <w:t>起草单位和</w:t>
      </w:r>
      <w:r>
        <w:rPr>
          <w:rFonts w:hint="eastAsia"/>
          <w:b/>
          <w:bCs/>
          <w:szCs w:val="32"/>
        </w:rPr>
        <w:t>起草人员信息及分工</w:t>
      </w:r>
    </w:p>
    <w:tbl>
      <w:tblPr>
        <w:tblW w:w="4998" w:type="pct"/>
        <w:tblCellMar>
          <w:left w:w="0" w:type="dxa"/>
          <w:right w:w="0" w:type="dxa"/>
        </w:tblCellMar>
        <w:tblLook w:val="04A0" w:firstRow="1" w:lastRow="0" w:firstColumn="1" w:lastColumn="0" w:noHBand="0" w:noVBand="1"/>
      </w:tblPr>
      <w:tblGrid>
        <w:gridCol w:w="1174"/>
        <w:gridCol w:w="1281"/>
        <w:gridCol w:w="3212"/>
        <w:gridCol w:w="2852"/>
      </w:tblGrid>
      <w:tr w:rsidR="00F927D3">
        <w:trPr>
          <w:trHeight w:val="50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b/>
                <w:bCs/>
                <w:color w:val="000000"/>
                <w:kern w:val="0"/>
                <w:sz w:val="21"/>
                <w:szCs w:val="21"/>
                <w:lang w:bidi="ar"/>
              </w:rPr>
              <w:t>章节</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b/>
                <w:bCs/>
                <w:color w:val="000000"/>
                <w:kern w:val="0"/>
                <w:sz w:val="21"/>
                <w:szCs w:val="21"/>
                <w:lang w:bidi="ar"/>
              </w:rPr>
              <w:t>名称</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b/>
                <w:bCs/>
                <w:color w:val="000000"/>
                <w:kern w:val="0"/>
                <w:sz w:val="21"/>
                <w:szCs w:val="21"/>
                <w:lang w:bidi="ar"/>
              </w:rPr>
              <w:t>牵头单位</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b/>
                <w:bCs/>
                <w:color w:val="000000"/>
                <w:kern w:val="0"/>
                <w:sz w:val="21"/>
                <w:szCs w:val="21"/>
                <w:lang w:bidi="ar"/>
              </w:rPr>
              <w:t>参与单位</w:t>
            </w:r>
          </w:p>
        </w:tc>
      </w:tr>
      <w:tr w:rsidR="00F927D3">
        <w:trPr>
          <w:trHeight w:val="52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1</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范围</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r>
      <w:tr w:rsidR="00F927D3">
        <w:trPr>
          <w:trHeight w:val="48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2</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规范性引用文件</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南京大德减震科技有限公司</w:t>
            </w:r>
          </w:p>
        </w:tc>
      </w:tr>
      <w:tr w:rsidR="00F927D3">
        <w:trPr>
          <w:trHeight w:val="50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3</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术语和定义</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r w:rsidR="00F927D3">
        <w:trPr>
          <w:trHeight w:val="50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4</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基本规定</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r>
      <w:tr w:rsidR="00F927D3">
        <w:trPr>
          <w:trHeight w:val="4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5</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检测基本要求</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r w:rsidR="00F927D3">
        <w:trPr>
          <w:trHeight w:val="4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6</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速度相关型阻尼器</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中衡设计集团股份有限公司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常州格林电力机械制造有限公司</w:t>
            </w:r>
          </w:p>
        </w:tc>
      </w:tr>
      <w:tr w:rsidR="00F927D3">
        <w:trPr>
          <w:trHeight w:val="5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7</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位移相关型阻尼器</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中衡设计集团股份有限公司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常州格林电力机械制造有限公司</w:t>
            </w:r>
          </w:p>
        </w:tc>
      </w:tr>
      <w:tr w:rsidR="00F927D3">
        <w:trPr>
          <w:trHeight w:val="40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8</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调谐质量阻尼器</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r w:rsidR="00F927D3">
        <w:trPr>
          <w:trHeight w:val="4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9</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复合型阻尼器</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南京大德减震科技有限公司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r w:rsidR="00F927D3">
        <w:trPr>
          <w:trHeight w:val="5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10</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检验规则及判定</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常州格林电力机械制造有限公司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南京大德减震科技有限公司</w:t>
            </w:r>
          </w:p>
        </w:tc>
      </w:tr>
      <w:tr w:rsidR="00F927D3">
        <w:trPr>
          <w:trHeight w:val="5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lastRenderedPageBreak/>
              <w:t>附录</w:t>
            </w:r>
            <w:r>
              <w:rPr>
                <w:rFonts w:ascii="仿宋_GB2312" w:eastAsia="仿宋_GB2312" w:cs="仿宋_GB2312"/>
                <w:color w:val="000000"/>
                <w:kern w:val="0"/>
                <w:sz w:val="21"/>
                <w:szCs w:val="21"/>
                <w:lang w:bidi="ar"/>
              </w:rPr>
              <w:t>A</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消能阻尼器试验装置</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r>
      <w:tr w:rsidR="00F927D3">
        <w:trPr>
          <w:trHeight w:val="48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附录</w:t>
            </w:r>
            <w:r>
              <w:rPr>
                <w:rFonts w:ascii="仿宋_GB2312" w:eastAsia="仿宋_GB2312" w:cs="仿宋_GB2312"/>
                <w:color w:val="000000"/>
                <w:kern w:val="0"/>
                <w:sz w:val="21"/>
                <w:szCs w:val="21"/>
                <w:lang w:bidi="ar"/>
              </w:rPr>
              <w:t>B</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消能阻尼器模型参数</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南京工业大学</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rFonts w:ascii="仿宋_GB2312" w:eastAsia="仿宋_GB2312" w:cs="仿宋_GB2312"/>
                <w:color w:val="000000"/>
                <w:kern w:val="0"/>
                <w:sz w:val="21"/>
                <w:szCs w:val="21"/>
                <w:lang w:bidi="ar"/>
              </w:rPr>
            </w:pPr>
            <w:r>
              <w:rPr>
                <w:rFonts w:ascii="仿宋_GB2312" w:eastAsia="仿宋_GB2312" w:cs="仿宋_GB2312"/>
                <w:color w:val="000000"/>
                <w:kern w:val="0"/>
                <w:sz w:val="21"/>
                <w:szCs w:val="21"/>
                <w:lang w:bidi="ar"/>
              </w:rPr>
              <w:t>常州市建筑科学研究院集团股份有限公司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东南大学</w:t>
            </w:r>
          </w:p>
        </w:tc>
      </w:tr>
      <w:tr w:rsidR="00F927D3">
        <w:trPr>
          <w:trHeight w:val="52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附录</w:t>
            </w:r>
            <w:r>
              <w:rPr>
                <w:rFonts w:ascii="仿宋_GB2312" w:eastAsia="仿宋_GB2312" w:cs="仿宋_GB2312"/>
                <w:color w:val="000000"/>
                <w:kern w:val="0"/>
                <w:sz w:val="21"/>
                <w:szCs w:val="21"/>
                <w:lang w:bidi="ar"/>
              </w:rPr>
              <w:t>C</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服役期消能阻尼器的检查内容和维护方法</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中衡设计集团股份有限公司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r w:rsidR="00F927D3">
        <w:trPr>
          <w:trHeight w:val="540"/>
        </w:trPr>
        <w:tc>
          <w:tcPr>
            <w:tcW w:w="689"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附录</w:t>
            </w:r>
            <w:r>
              <w:rPr>
                <w:rFonts w:ascii="仿宋_GB2312" w:eastAsia="仿宋_GB2312" w:cs="仿宋_GB2312"/>
                <w:color w:val="000000"/>
                <w:kern w:val="0"/>
                <w:sz w:val="21"/>
                <w:szCs w:val="21"/>
                <w:lang w:bidi="ar"/>
              </w:rPr>
              <w:t>D</w:t>
            </w:r>
          </w:p>
        </w:tc>
        <w:tc>
          <w:tcPr>
            <w:tcW w:w="752"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建议标准化产品规格及性能参数</w:t>
            </w:r>
          </w:p>
        </w:tc>
        <w:tc>
          <w:tcPr>
            <w:tcW w:w="1884"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常州格林电力机械制造有限公司</w:t>
            </w:r>
          </w:p>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南京大德减震科技有限公司</w:t>
            </w:r>
          </w:p>
        </w:tc>
        <w:tc>
          <w:tcPr>
            <w:tcW w:w="1673" w:type="pct"/>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vAlign w:val="center"/>
          </w:tcPr>
          <w:p w:rsidR="00F927D3" w:rsidRDefault="00684734">
            <w:pPr>
              <w:widowControl/>
              <w:spacing w:line="240" w:lineRule="auto"/>
              <w:ind w:firstLineChars="0" w:firstLine="0"/>
              <w:jc w:val="center"/>
              <w:rPr>
                <w:kern w:val="0"/>
                <w:sz w:val="21"/>
                <w:szCs w:val="21"/>
                <w:lang w:bidi="ar"/>
              </w:rPr>
            </w:pPr>
            <w:r>
              <w:rPr>
                <w:rFonts w:ascii="仿宋_GB2312" w:eastAsia="仿宋_GB2312" w:cs="仿宋_GB2312"/>
                <w:color w:val="000000"/>
                <w:kern w:val="0"/>
                <w:sz w:val="21"/>
                <w:szCs w:val="21"/>
                <w:lang w:bidi="ar"/>
              </w:rPr>
              <w:t>常州市建筑科学研究院集团股份有限公司</w:t>
            </w:r>
          </w:p>
        </w:tc>
      </w:tr>
    </w:tbl>
    <w:p w:rsidR="00F927D3" w:rsidRDefault="00F927D3" w:rsidP="00F927D3">
      <w:pPr>
        <w:ind w:firstLine="480"/>
      </w:pPr>
    </w:p>
    <w:sectPr w:rsidR="00F927D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734" w:rsidRDefault="00684734">
      <w:pPr>
        <w:spacing w:line="240" w:lineRule="auto"/>
        <w:ind w:firstLine="480"/>
      </w:pPr>
      <w:r>
        <w:separator/>
      </w:r>
    </w:p>
  </w:endnote>
  <w:endnote w:type="continuationSeparator" w:id="0">
    <w:p w:rsidR="00684734" w:rsidRDefault="0068473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734" w:rsidRDefault="00684734">
      <w:pPr>
        <w:ind w:firstLine="480"/>
      </w:pPr>
      <w:r>
        <w:separator/>
      </w:r>
    </w:p>
  </w:footnote>
  <w:footnote w:type="continuationSeparator" w:id="0">
    <w:p w:rsidR="00684734" w:rsidRDefault="00684734">
      <w:pPr>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wMTdlZTg4ODYyNzM4N2Y2YTM1OGJjYzliMmJmYjUifQ=="/>
  </w:docVars>
  <w:rsids>
    <w:rsidRoot w:val="00F927D3"/>
    <w:rsid w:val="00684734"/>
    <w:rsid w:val="00F40D64"/>
    <w:rsid w:val="00F927D3"/>
    <w:rsid w:val="15A20FDE"/>
    <w:rsid w:val="2BDB0F4D"/>
    <w:rsid w:val="345E036E"/>
    <w:rsid w:val="394E30EA"/>
    <w:rsid w:val="59826446"/>
    <w:rsid w:val="615354F6"/>
    <w:rsid w:val="64032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640"/>
      <w:jc w:val="both"/>
    </w:pPr>
    <w:rPr>
      <w:rFonts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r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line="360" w:lineRule="auto"/>
      <w:ind w:firstLineChars="200" w:firstLine="640"/>
      <w:jc w:val="both"/>
    </w:pPr>
    <w:rPr>
      <w:rFonts w:cstheme="minorBidi"/>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jc w:val="left"/>
    </w:pPr>
    <w:rPr>
      <w:rFonts w:cs="Times New Roman"/>
      <w:kern w:val="0"/>
    </w:r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676</Words>
  <Characters>3854</Characters>
  <Application>Microsoft Office Word</Application>
  <DocSecurity>0</DocSecurity>
  <Lines>32</Lines>
  <Paragraphs>9</Paragraphs>
  <ScaleCrop>false</ScaleCrop>
  <Company/>
  <LinksUpToDate>false</LinksUpToDate>
  <CharactersWithSpaces>4521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2024-10-31T08:47:00Z</dcterms:created>
  <dcterms:modified xsi:type="dcterms:W3CDTF">2024-10-31T08:47:00Z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A7F6E13C7E44461BB66350B932B043CB_12</vt:lpwstr>
  </property>
</Properties>
</file>